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6" w:type="dxa"/>
        <w:tblInd w:w="108" w:type="dxa"/>
        <w:tblLook w:val="04A0" w:firstRow="1" w:lastRow="0" w:firstColumn="1" w:lastColumn="0" w:noHBand="0" w:noVBand="1"/>
      </w:tblPr>
      <w:tblGrid>
        <w:gridCol w:w="3369"/>
        <w:gridCol w:w="5917"/>
      </w:tblGrid>
      <w:tr w:rsidR="006F37D0" w:rsidRPr="007F040F" w14:paraId="4DCA12C1" w14:textId="77777777" w:rsidTr="00F26854">
        <w:trPr>
          <w:trHeight w:val="1757"/>
        </w:trPr>
        <w:tc>
          <w:tcPr>
            <w:tcW w:w="3369" w:type="dxa"/>
            <w:tcBorders>
              <w:left w:val="single" w:sz="48" w:space="0" w:color="BC9E6E"/>
            </w:tcBorders>
            <w:vAlign w:val="center"/>
          </w:tcPr>
          <w:p w14:paraId="61F65529" w14:textId="52C4F46A" w:rsidR="00C711D6" w:rsidRPr="00766A4F" w:rsidRDefault="00525667" w:rsidP="008C769E">
            <w:pPr>
              <w:tabs>
                <w:tab w:val="left" w:pos="4680"/>
                <w:tab w:val="left" w:pos="8100"/>
              </w:tabs>
              <w:spacing w:before="60"/>
              <w:ind w:right="142" w:firstLine="142"/>
              <w:jc w:val="both"/>
              <w:rPr>
                <w:i/>
                <w:noProof/>
                <w:szCs w:val="22"/>
                <w:lang w:eastAsia="en-GB"/>
              </w:rPr>
            </w:pPr>
            <w:r>
              <w:rPr>
                <w:i/>
                <w:noProof/>
                <w:szCs w:val="22"/>
                <w:lang w:eastAsia="en-GB"/>
              </w:rPr>
              <w:drawing>
                <wp:inline distT="0" distB="0" distL="0" distR="0" wp14:anchorId="7A239C11" wp14:editId="052F1FBC">
                  <wp:extent cx="1619250" cy="8724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</w:tcPr>
          <w:p w14:paraId="422E0067" w14:textId="77777777" w:rsidR="00375D2B" w:rsidRPr="007F040F" w:rsidRDefault="00375D2B" w:rsidP="00375D2B">
            <w:pPr>
              <w:pStyle w:val="Heading1"/>
              <w:jc w:val="right"/>
              <w:rPr>
                <w:b/>
                <w:i w:val="0"/>
                <w:noProof/>
                <w:color w:val="002060"/>
                <w:sz w:val="32"/>
                <w:szCs w:val="22"/>
                <w:u w:val="none"/>
                <w:lang w:eastAsia="en-GB"/>
              </w:rPr>
            </w:pPr>
          </w:p>
          <w:p w14:paraId="79D24894" w14:textId="77777777" w:rsidR="00375D2B" w:rsidRPr="007F040F" w:rsidRDefault="00375D2B" w:rsidP="00375D2B">
            <w:pPr>
              <w:pStyle w:val="Heading1"/>
              <w:jc w:val="right"/>
              <w:rPr>
                <w:b/>
                <w:i w:val="0"/>
                <w:noProof/>
                <w:color w:val="002060"/>
                <w:sz w:val="28"/>
                <w:szCs w:val="22"/>
                <w:u w:val="none"/>
                <w:lang w:eastAsia="en-GB"/>
              </w:rPr>
            </w:pPr>
            <w:r w:rsidRPr="007F040F">
              <w:rPr>
                <w:b/>
                <w:i w:val="0"/>
                <w:noProof/>
                <w:color w:val="002060"/>
                <w:sz w:val="28"/>
                <w:szCs w:val="22"/>
                <w:u w:val="none"/>
                <w:lang w:eastAsia="en-GB"/>
              </w:rPr>
              <w:t xml:space="preserve">ΔΕΛΤΙΟ ΤΥΠΟΥ </w:t>
            </w:r>
          </w:p>
          <w:p w14:paraId="13375BD1" w14:textId="77777777" w:rsidR="00C711D6" w:rsidRPr="007F040F" w:rsidRDefault="00375D2B" w:rsidP="0072280C">
            <w:pPr>
              <w:pStyle w:val="Heading1"/>
              <w:ind w:firstLine="0"/>
              <w:jc w:val="right"/>
              <w:rPr>
                <w:i w:val="0"/>
                <w:noProof/>
                <w:color w:val="002060"/>
                <w:szCs w:val="22"/>
                <w:u w:val="none"/>
                <w:lang w:eastAsia="en-GB"/>
              </w:rPr>
            </w:pPr>
            <w:r w:rsidRPr="007F040F">
              <w:rPr>
                <w:i w:val="0"/>
                <w:noProof/>
                <w:color w:val="002060"/>
                <w:szCs w:val="22"/>
                <w:u w:val="none"/>
                <w:lang w:eastAsia="en-GB"/>
              </w:rPr>
              <w:t xml:space="preserve">Αθήνα, </w:t>
            </w:r>
            <w:r w:rsidR="000E5626" w:rsidRPr="000E5626">
              <w:rPr>
                <w:i w:val="0"/>
                <w:noProof/>
                <w:color w:val="1F3864"/>
                <w:szCs w:val="22"/>
                <w:u w:val="none"/>
                <w:lang w:val="en-AU" w:eastAsia="en-GB"/>
              </w:rPr>
              <w:t xml:space="preserve">29 Μαΐου </w:t>
            </w:r>
            <w:r w:rsidRPr="00913BDE">
              <w:rPr>
                <w:i w:val="0"/>
                <w:noProof/>
                <w:color w:val="1F3864"/>
                <w:szCs w:val="22"/>
                <w:u w:val="none"/>
                <w:lang w:eastAsia="en-GB"/>
              </w:rPr>
              <w:t>202</w:t>
            </w:r>
            <w:r w:rsidR="001C1419">
              <w:rPr>
                <w:i w:val="0"/>
                <w:noProof/>
                <w:color w:val="1F3864"/>
                <w:szCs w:val="22"/>
                <w:u w:val="none"/>
                <w:lang w:eastAsia="en-GB"/>
              </w:rPr>
              <w:t>6</w:t>
            </w:r>
          </w:p>
        </w:tc>
      </w:tr>
    </w:tbl>
    <w:p w14:paraId="5C3E47EF" w14:textId="77777777" w:rsidR="00E81BAC" w:rsidRDefault="00E81BAC" w:rsidP="008F1D5F">
      <w:pPr>
        <w:pStyle w:val="Heading6"/>
        <w:tabs>
          <w:tab w:val="left" w:pos="4680"/>
          <w:tab w:val="left" w:pos="8100"/>
        </w:tabs>
        <w:spacing w:after="120" w:line="276" w:lineRule="auto"/>
        <w:ind w:left="0" w:right="-2"/>
        <w:jc w:val="left"/>
        <w:rPr>
          <w:b/>
          <w:i w:val="0"/>
          <w:color w:val="00205B"/>
          <w:sz w:val="32"/>
          <w:szCs w:val="32"/>
          <w:lang w:val="en-US"/>
        </w:rPr>
      </w:pPr>
    </w:p>
    <w:p w14:paraId="5C5A8326" w14:textId="77777777" w:rsidR="0022527E" w:rsidRPr="001D541F" w:rsidRDefault="00036433" w:rsidP="008F1D5F">
      <w:pPr>
        <w:pStyle w:val="Heading6"/>
        <w:tabs>
          <w:tab w:val="left" w:pos="4680"/>
          <w:tab w:val="left" w:pos="8100"/>
        </w:tabs>
        <w:spacing w:after="120" w:line="276" w:lineRule="auto"/>
        <w:ind w:left="0" w:right="-2"/>
        <w:jc w:val="left"/>
        <w:rPr>
          <w:b/>
          <w:i w:val="0"/>
          <w:color w:val="00205B"/>
          <w:sz w:val="32"/>
          <w:szCs w:val="32"/>
        </w:rPr>
      </w:pPr>
      <w:r w:rsidRPr="001D541F">
        <w:rPr>
          <w:b/>
          <w:i w:val="0"/>
          <w:color w:val="00205B"/>
          <w:sz w:val="32"/>
          <w:szCs w:val="32"/>
        </w:rPr>
        <w:t>Στατιστικά στοιχεία Ασφαλιστικών Επιχειρήσεων</w:t>
      </w:r>
      <w:r w:rsidR="00104D7C" w:rsidRPr="001D541F">
        <w:rPr>
          <w:b/>
          <w:i w:val="0"/>
          <w:color w:val="00205B"/>
          <w:sz w:val="32"/>
          <w:szCs w:val="32"/>
        </w:rPr>
        <w:t xml:space="preserve"> –</w:t>
      </w:r>
    </w:p>
    <w:p w14:paraId="17663527" w14:textId="77777777" w:rsidR="00F957D8" w:rsidRPr="00E81BAC" w:rsidRDefault="000E5626" w:rsidP="00724E80">
      <w:pPr>
        <w:pStyle w:val="Heading6"/>
        <w:tabs>
          <w:tab w:val="left" w:pos="4680"/>
          <w:tab w:val="left" w:pos="8100"/>
        </w:tabs>
        <w:spacing w:after="120" w:line="276" w:lineRule="auto"/>
        <w:ind w:left="0" w:right="-2"/>
        <w:jc w:val="left"/>
        <w:rPr>
          <w:b/>
          <w:i w:val="0"/>
          <w:color w:val="00205B"/>
          <w:sz w:val="32"/>
          <w:szCs w:val="32"/>
          <w:lang w:val="en-US"/>
        </w:rPr>
      </w:pPr>
      <w:r>
        <w:rPr>
          <w:b/>
          <w:i w:val="0"/>
          <w:color w:val="00205B"/>
          <w:sz w:val="32"/>
          <w:szCs w:val="32"/>
        </w:rPr>
        <w:t>α</w:t>
      </w:r>
      <w:r w:rsidR="0022527E" w:rsidRPr="001D541F">
        <w:rPr>
          <w:b/>
          <w:i w:val="0"/>
          <w:color w:val="00205B"/>
          <w:sz w:val="32"/>
          <w:szCs w:val="32"/>
        </w:rPr>
        <w:t>΄</w:t>
      </w:r>
      <w:r w:rsidR="00036433" w:rsidRPr="001D541F">
        <w:rPr>
          <w:b/>
          <w:i w:val="0"/>
          <w:color w:val="00205B"/>
          <w:sz w:val="32"/>
          <w:szCs w:val="32"/>
        </w:rPr>
        <w:t xml:space="preserve"> τρίμηνο</w:t>
      </w:r>
      <w:r>
        <w:rPr>
          <w:b/>
          <w:i w:val="0"/>
          <w:color w:val="00205B"/>
          <w:sz w:val="32"/>
          <w:szCs w:val="32"/>
        </w:rPr>
        <w:t xml:space="preserve"> 2026</w:t>
      </w:r>
    </w:p>
    <w:p w14:paraId="4711E5AB" w14:textId="77777777" w:rsidR="0068536A" w:rsidRPr="00871F0B" w:rsidRDefault="00036433" w:rsidP="00A262CA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  <w:lang w:val="el-GR"/>
        </w:rPr>
      </w:pPr>
      <w:r w:rsidRPr="006E2C34">
        <w:rPr>
          <w:sz w:val="22"/>
          <w:szCs w:val="22"/>
          <w:lang w:val="el-GR"/>
        </w:rPr>
        <w:t xml:space="preserve">Η συνολική αξία του ενεργητικού των ασφαλιστικών επιχειρήσεων </w:t>
      </w:r>
      <w:r w:rsidR="00EA431C">
        <w:rPr>
          <w:sz w:val="22"/>
          <w:szCs w:val="22"/>
          <w:lang w:val="el-GR"/>
        </w:rPr>
        <w:t xml:space="preserve">παρουσίασε </w:t>
      </w:r>
      <w:r w:rsidR="00500F05">
        <w:rPr>
          <w:sz w:val="22"/>
          <w:szCs w:val="22"/>
          <w:lang w:val="el-GR"/>
        </w:rPr>
        <w:t>μείω</w:t>
      </w:r>
      <w:r w:rsidR="00DA2523">
        <w:rPr>
          <w:sz w:val="22"/>
          <w:szCs w:val="22"/>
          <w:lang w:val="el-GR"/>
        </w:rPr>
        <w:t>σ</w:t>
      </w:r>
      <w:r w:rsidR="0047134D">
        <w:rPr>
          <w:sz w:val="22"/>
          <w:szCs w:val="22"/>
          <w:lang w:val="el-GR"/>
        </w:rPr>
        <w:t>η</w:t>
      </w:r>
      <w:r w:rsidR="009630D5">
        <w:rPr>
          <w:sz w:val="22"/>
          <w:szCs w:val="22"/>
          <w:lang w:val="el-GR"/>
        </w:rPr>
        <w:t xml:space="preserve"> κατά </w:t>
      </w:r>
      <w:r w:rsidR="00500F05">
        <w:rPr>
          <w:sz w:val="22"/>
          <w:szCs w:val="22"/>
          <w:lang w:val="el-GR"/>
        </w:rPr>
        <w:t>0,</w:t>
      </w:r>
      <w:r w:rsidR="00500F05" w:rsidRPr="00500F05">
        <w:rPr>
          <w:sz w:val="22"/>
          <w:szCs w:val="22"/>
          <w:lang w:val="el-GR"/>
        </w:rPr>
        <w:t>5</w:t>
      </w:r>
      <w:r w:rsidR="009630D5">
        <w:rPr>
          <w:sz w:val="22"/>
          <w:szCs w:val="22"/>
          <w:lang w:val="el-GR"/>
        </w:rPr>
        <w:t xml:space="preserve">% </w:t>
      </w:r>
      <w:r w:rsidR="00500F05">
        <w:rPr>
          <w:sz w:val="22"/>
          <w:szCs w:val="22"/>
          <w:lang w:val="el-GR"/>
        </w:rPr>
        <w:t>το α</w:t>
      </w:r>
      <w:r w:rsidR="00E526BA" w:rsidRPr="00682D30">
        <w:rPr>
          <w:sz w:val="22"/>
          <w:szCs w:val="22"/>
          <w:lang w:val="el-GR"/>
        </w:rPr>
        <w:t>΄</w:t>
      </w:r>
      <w:r w:rsidR="00500F05">
        <w:rPr>
          <w:sz w:val="22"/>
          <w:szCs w:val="22"/>
          <w:lang w:val="el-GR"/>
        </w:rPr>
        <w:t xml:space="preserve"> τρίμηνο του 2026</w:t>
      </w:r>
      <w:r w:rsidR="003217D2">
        <w:rPr>
          <w:sz w:val="22"/>
          <w:szCs w:val="22"/>
          <w:lang w:val="el-GR"/>
        </w:rPr>
        <w:t xml:space="preserve"> </w:t>
      </w:r>
      <w:r w:rsidR="00BB10B9">
        <w:rPr>
          <w:sz w:val="22"/>
          <w:szCs w:val="22"/>
          <w:lang w:val="el-GR"/>
        </w:rPr>
        <w:t xml:space="preserve">και </w:t>
      </w:r>
      <w:r w:rsidR="00520777" w:rsidRPr="006E2C34">
        <w:rPr>
          <w:sz w:val="22"/>
          <w:szCs w:val="22"/>
          <w:lang w:val="el-GR"/>
        </w:rPr>
        <w:t>διαμορφώθηκε</w:t>
      </w:r>
      <w:r w:rsidRPr="006E2C34">
        <w:rPr>
          <w:sz w:val="22"/>
          <w:szCs w:val="22"/>
          <w:lang w:val="el-GR"/>
        </w:rPr>
        <w:t xml:space="preserve"> σ</w:t>
      </w:r>
      <w:r w:rsidR="008E7EAC">
        <w:rPr>
          <w:sz w:val="22"/>
          <w:szCs w:val="22"/>
          <w:lang w:val="el-GR"/>
        </w:rPr>
        <w:t>τα</w:t>
      </w:r>
      <w:r w:rsidRPr="006E2C34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>21.947</w:t>
      </w:r>
      <w:r w:rsidRPr="006E2C34">
        <w:rPr>
          <w:sz w:val="22"/>
          <w:szCs w:val="22"/>
          <w:lang w:val="el-GR"/>
        </w:rPr>
        <w:t xml:space="preserve"> εκατ.</w:t>
      </w:r>
      <w:r w:rsidR="003217D2">
        <w:rPr>
          <w:sz w:val="22"/>
          <w:szCs w:val="22"/>
          <w:lang w:val="el-GR"/>
        </w:rPr>
        <w:t xml:space="preserve"> ευρώ</w:t>
      </w:r>
      <w:r w:rsidR="0025157C" w:rsidRPr="00640B23">
        <w:rPr>
          <w:sz w:val="22"/>
          <w:szCs w:val="22"/>
          <w:lang w:val="el-GR"/>
        </w:rPr>
        <w:t>,</w:t>
      </w:r>
      <w:r w:rsidRPr="006E2C34">
        <w:rPr>
          <w:sz w:val="22"/>
          <w:szCs w:val="22"/>
          <w:lang w:val="el-GR"/>
        </w:rPr>
        <w:t xml:space="preserve"> έναντι </w:t>
      </w:r>
      <w:r w:rsidR="00500F05">
        <w:rPr>
          <w:sz w:val="22"/>
          <w:szCs w:val="22"/>
          <w:lang w:val="el-GR"/>
        </w:rPr>
        <w:t>22.066</w:t>
      </w:r>
      <w:r w:rsidR="005F5E3D" w:rsidRPr="005F5E3D">
        <w:rPr>
          <w:sz w:val="22"/>
          <w:szCs w:val="22"/>
          <w:lang w:val="el-GR"/>
        </w:rPr>
        <w:t xml:space="preserve"> </w:t>
      </w:r>
      <w:r w:rsidRPr="006E2C34">
        <w:rPr>
          <w:sz w:val="22"/>
          <w:szCs w:val="22"/>
          <w:lang w:val="el-GR"/>
        </w:rPr>
        <w:t>εκατ. ευρώ το προηγούμενο τρίμηνο.</w:t>
      </w:r>
      <w:r w:rsidR="00B57F1E" w:rsidRPr="00871F0B">
        <w:rPr>
          <w:iCs/>
          <w:sz w:val="22"/>
          <w:szCs w:val="22"/>
          <w:lang w:val="el-GR"/>
        </w:rPr>
        <w:t xml:space="preserve"> </w:t>
      </w:r>
    </w:p>
    <w:p w14:paraId="14A4BC6C" w14:textId="77777777" w:rsidR="00724E80" w:rsidRDefault="006D6997" w:rsidP="00724E80">
      <w:pPr>
        <w:numPr>
          <w:ilvl w:val="0"/>
          <w:numId w:val="4"/>
        </w:numPr>
        <w:spacing w:line="360" w:lineRule="auto"/>
        <w:ind w:left="426" w:hanging="426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n-US"/>
        </w:rPr>
        <w:t>O</w:t>
      </w:r>
      <w:r w:rsidR="00B41AB3" w:rsidRPr="00871F0B">
        <w:rPr>
          <w:sz w:val="22"/>
          <w:szCs w:val="22"/>
          <w:lang w:val="el-GR"/>
        </w:rPr>
        <w:t xml:space="preserve">ι ασφαλιστικές τεχνικές προβλέψεις </w:t>
      </w:r>
      <w:r w:rsidR="00500F05">
        <w:rPr>
          <w:sz w:val="22"/>
          <w:szCs w:val="22"/>
          <w:lang w:val="el-GR"/>
        </w:rPr>
        <w:t>μειώ</w:t>
      </w:r>
      <w:r w:rsidR="00311BFA">
        <w:rPr>
          <w:sz w:val="22"/>
          <w:szCs w:val="22"/>
          <w:lang w:val="el-GR"/>
        </w:rPr>
        <w:t>θηκαν</w:t>
      </w:r>
      <w:r w:rsidR="00AC4969" w:rsidRPr="00871F0B">
        <w:rPr>
          <w:sz w:val="22"/>
          <w:szCs w:val="22"/>
          <w:lang w:val="el-GR"/>
        </w:rPr>
        <w:t xml:space="preserve"> </w:t>
      </w:r>
      <w:r w:rsidR="00B41AB3" w:rsidRPr="00871F0B">
        <w:rPr>
          <w:sz w:val="22"/>
          <w:szCs w:val="22"/>
          <w:lang w:val="el-GR"/>
        </w:rPr>
        <w:t xml:space="preserve">κατά </w:t>
      </w:r>
      <w:r w:rsidR="00500F05">
        <w:rPr>
          <w:sz w:val="22"/>
          <w:szCs w:val="22"/>
          <w:lang w:val="el-GR"/>
        </w:rPr>
        <w:t>64</w:t>
      </w:r>
      <w:r w:rsidR="003C7D62" w:rsidRPr="00871F0B">
        <w:rPr>
          <w:sz w:val="22"/>
          <w:szCs w:val="22"/>
          <w:lang w:val="el-GR"/>
        </w:rPr>
        <w:t xml:space="preserve"> </w:t>
      </w:r>
      <w:r w:rsidR="00B41AB3" w:rsidRPr="00871F0B">
        <w:rPr>
          <w:sz w:val="22"/>
          <w:szCs w:val="22"/>
          <w:lang w:val="el-GR"/>
        </w:rPr>
        <w:t>εκατ</w:t>
      </w:r>
      <w:r w:rsidR="009D23DB">
        <w:rPr>
          <w:sz w:val="22"/>
          <w:szCs w:val="22"/>
          <w:lang w:val="el-GR"/>
        </w:rPr>
        <w:t>. ε</w:t>
      </w:r>
      <w:r w:rsidR="009C147E">
        <w:rPr>
          <w:sz w:val="22"/>
          <w:szCs w:val="22"/>
          <w:lang w:val="el-GR"/>
        </w:rPr>
        <w:t xml:space="preserve">υρώ και διαμορφώθηκαν στα </w:t>
      </w:r>
      <w:r w:rsidR="00500F05">
        <w:rPr>
          <w:sz w:val="22"/>
          <w:szCs w:val="22"/>
          <w:lang w:val="el-GR"/>
        </w:rPr>
        <w:t>15.992</w:t>
      </w:r>
      <w:r w:rsidR="00C10AAE">
        <w:rPr>
          <w:sz w:val="22"/>
          <w:szCs w:val="22"/>
          <w:lang w:val="el-GR"/>
        </w:rPr>
        <w:t xml:space="preserve"> </w:t>
      </w:r>
      <w:r w:rsidR="00B41AB3" w:rsidRPr="00871F0B">
        <w:rPr>
          <w:sz w:val="22"/>
          <w:szCs w:val="22"/>
          <w:lang w:val="el-GR"/>
        </w:rPr>
        <w:t>εκατ. ευρώ</w:t>
      </w:r>
      <w:r w:rsidR="0025157C" w:rsidRPr="00640B23">
        <w:rPr>
          <w:sz w:val="22"/>
          <w:szCs w:val="22"/>
          <w:lang w:val="el-GR"/>
        </w:rPr>
        <w:t>,</w:t>
      </w:r>
      <w:r w:rsidR="00BB10B9">
        <w:rPr>
          <w:sz w:val="22"/>
          <w:szCs w:val="22"/>
          <w:lang w:val="el-GR"/>
        </w:rPr>
        <w:t xml:space="preserve"> έναντι </w:t>
      </w:r>
      <w:r w:rsidR="00500F05">
        <w:rPr>
          <w:sz w:val="22"/>
          <w:szCs w:val="22"/>
          <w:lang w:val="el-GR"/>
        </w:rPr>
        <w:t>16.056</w:t>
      </w:r>
      <w:r w:rsidR="005F5E3D" w:rsidRPr="005F5E3D">
        <w:rPr>
          <w:sz w:val="22"/>
          <w:szCs w:val="22"/>
          <w:lang w:val="el-GR"/>
        </w:rPr>
        <w:t xml:space="preserve"> </w:t>
      </w:r>
      <w:r w:rsidR="001079B1">
        <w:rPr>
          <w:sz w:val="22"/>
          <w:szCs w:val="22"/>
          <w:lang w:val="el-GR"/>
        </w:rPr>
        <w:t xml:space="preserve">εκατ. ευρώ </w:t>
      </w:r>
      <w:r w:rsidR="00BB10B9">
        <w:rPr>
          <w:sz w:val="22"/>
          <w:szCs w:val="22"/>
          <w:lang w:val="el-GR"/>
        </w:rPr>
        <w:t>το προηγούμενο τρίμηνο</w:t>
      </w:r>
      <w:r w:rsidR="00B41AB3" w:rsidRPr="006E2C34">
        <w:rPr>
          <w:sz w:val="22"/>
          <w:szCs w:val="22"/>
          <w:lang w:val="el-GR"/>
        </w:rPr>
        <w:t>.</w:t>
      </w:r>
    </w:p>
    <w:p w14:paraId="0EDD32E9" w14:textId="77777777" w:rsidR="00724E80" w:rsidRPr="00724E80" w:rsidRDefault="00724E80" w:rsidP="00724E80">
      <w:pPr>
        <w:spacing w:line="360" w:lineRule="auto"/>
        <w:ind w:left="426"/>
        <w:jc w:val="both"/>
        <w:rPr>
          <w:sz w:val="22"/>
          <w:szCs w:val="22"/>
          <w:lang w:val="el-GR"/>
        </w:rPr>
      </w:pPr>
    </w:p>
    <w:p w14:paraId="56F6C68C" w14:textId="77777777" w:rsidR="0022527E" w:rsidRPr="00682D30" w:rsidRDefault="0022527E" w:rsidP="006E2C3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συνολική αξία του ενεργητικού τ</w:t>
      </w:r>
      <w:r w:rsidR="003B2A1F">
        <w:rPr>
          <w:sz w:val="22"/>
          <w:szCs w:val="22"/>
          <w:lang w:val="el-GR"/>
        </w:rPr>
        <w:t>ων</w:t>
      </w:r>
      <w:r>
        <w:rPr>
          <w:sz w:val="22"/>
          <w:szCs w:val="22"/>
          <w:lang w:val="el-GR"/>
        </w:rPr>
        <w:t xml:space="preserve"> </w:t>
      </w:r>
      <w:r w:rsidRPr="00682D30">
        <w:rPr>
          <w:sz w:val="22"/>
          <w:szCs w:val="22"/>
          <w:lang w:val="el-GR"/>
        </w:rPr>
        <w:t xml:space="preserve">ασφαλιστικών επιχειρήσεων </w:t>
      </w:r>
      <w:r w:rsidR="00500F05">
        <w:rPr>
          <w:sz w:val="22"/>
          <w:szCs w:val="22"/>
          <w:lang w:val="el-GR"/>
        </w:rPr>
        <w:t>μειώ</w:t>
      </w:r>
      <w:r w:rsidR="009D23DB">
        <w:rPr>
          <w:sz w:val="22"/>
          <w:szCs w:val="22"/>
          <w:lang w:val="el-GR"/>
        </w:rPr>
        <w:t xml:space="preserve">θηκε </w:t>
      </w:r>
      <w:r w:rsidR="00DF1AD0">
        <w:rPr>
          <w:sz w:val="22"/>
          <w:szCs w:val="22"/>
          <w:lang w:val="el-GR"/>
        </w:rPr>
        <w:t>κατά</w:t>
      </w:r>
      <w:r w:rsidR="00500F05">
        <w:rPr>
          <w:sz w:val="22"/>
          <w:szCs w:val="22"/>
          <w:lang w:val="el-GR"/>
        </w:rPr>
        <w:t xml:space="preserve"> 119</w:t>
      </w:r>
      <w:r w:rsidR="00DF1AD0">
        <w:rPr>
          <w:sz w:val="22"/>
          <w:szCs w:val="22"/>
          <w:lang w:val="el-GR"/>
        </w:rPr>
        <w:t xml:space="preserve"> εκατ. ευρώ σε σχέση με το προηγούμενο τρίμηνο και </w:t>
      </w:r>
      <w:r w:rsidRPr="00682D30">
        <w:rPr>
          <w:sz w:val="22"/>
          <w:szCs w:val="22"/>
          <w:lang w:val="el-GR"/>
        </w:rPr>
        <w:t>διαμορφώθηκε σ</w:t>
      </w:r>
      <w:r w:rsidR="00F55901">
        <w:rPr>
          <w:sz w:val="22"/>
          <w:szCs w:val="22"/>
          <w:lang w:val="el-GR"/>
        </w:rPr>
        <w:t>τα</w:t>
      </w:r>
      <w:r w:rsidRPr="00682D30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>21.947</w:t>
      </w:r>
      <w:r w:rsidR="007B4C5C" w:rsidRPr="006E2C34">
        <w:rPr>
          <w:sz w:val="22"/>
          <w:szCs w:val="22"/>
          <w:lang w:val="el-GR"/>
        </w:rPr>
        <w:t xml:space="preserve"> </w:t>
      </w:r>
      <w:r w:rsidRPr="00682D30">
        <w:rPr>
          <w:sz w:val="22"/>
          <w:szCs w:val="22"/>
          <w:lang w:val="el-GR"/>
        </w:rPr>
        <w:t>εκατ</w:t>
      </w:r>
      <w:r w:rsidR="00500F05">
        <w:rPr>
          <w:sz w:val="22"/>
          <w:szCs w:val="22"/>
          <w:lang w:val="el-GR"/>
        </w:rPr>
        <w:t>. ευρώ στο τέλος του α</w:t>
      </w:r>
      <w:r w:rsidRPr="00682D30">
        <w:rPr>
          <w:sz w:val="22"/>
          <w:szCs w:val="22"/>
          <w:lang w:val="el-GR"/>
        </w:rPr>
        <w:t xml:space="preserve">΄ </w:t>
      </w:r>
      <w:r w:rsidR="00500F05">
        <w:rPr>
          <w:sz w:val="22"/>
          <w:szCs w:val="22"/>
          <w:lang w:val="el-GR"/>
        </w:rPr>
        <w:t>τριμήνου του 2026</w:t>
      </w:r>
      <w:r w:rsidRPr="00682D30">
        <w:rPr>
          <w:sz w:val="22"/>
          <w:szCs w:val="22"/>
          <w:lang w:val="el-GR"/>
        </w:rPr>
        <w:t>.</w:t>
      </w:r>
      <w:r w:rsidRPr="00682D30">
        <w:rPr>
          <w:iCs/>
          <w:sz w:val="22"/>
          <w:szCs w:val="22"/>
          <w:lang w:val="el-GR"/>
        </w:rPr>
        <w:t xml:space="preserve"> </w:t>
      </w:r>
    </w:p>
    <w:p w14:paraId="542BC1A6" w14:textId="77777777" w:rsidR="00520777" w:rsidRPr="006950E4" w:rsidRDefault="00520777" w:rsidP="00520777">
      <w:pPr>
        <w:spacing w:line="360" w:lineRule="auto"/>
        <w:jc w:val="both"/>
        <w:rPr>
          <w:sz w:val="22"/>
          <w:szCs w:val="22"/>
          <w:lang w:val="el-GR"/>
        </w:rPr>
      </w:pPr>
      <w:r w:rsidRPr="006950E4">
        <w:rPr>
          <w:sz w:val="22"/>
          <w:szCs w:val="22"/>
          <w:lang w:val="el-GR"/>
        </w:rPr>
        <w:t>Αναλυτικότερα, οι συνολικές καταθέσεις των ασφαλιστικών επιχειρήσεων</w:t>
      </w:r>
      <w:r w:rsidR="001C1419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διαμορφώθηκαν σ</w:t>
      </w:r>
      <w:r>
        <w:rPr>
          <w:sz w:val="22"/>
          <w:szCs w:val="22"/>
          <w:lang w:val="el-GR"/>
        </w:rPr>
        <w:t>τα</w:t>
      </w:r>
      <w:r w:rsidR="00500F05">
        <w:rPr>
          <w:sz w:val="22"/>
          <w:szCs w:val="22"/>
          <w:lang w:val="el-GR"/>
        </w:rPr>
        <w:t xml:space="preserve"> 560</w:t>
      </w:r>
      <w:r w:rsidR="00AC4969" w:rsidRPr="006950E4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εκατ. ευρώ στο τέλος του </w:t>
      </w:r>
      <w:r w:rsidR="00500F05">
        <w:rPr>
          <w:sz w:val="22"/>
          <w:szCs w:val="22"/>
          <w:lang w:val="el-GR"/>
        </w:rPr>
        <w:t>α΄ τριμήνου του 2026</w:t>
      </w:r>
      <w:r w:rsidR="00D2168F" w:rsidRPr="00F5037F">
        <w:rPr>
          <w:sz w:val="22"/>
          <w:szCs w:val="22"/>
          <w:lang w:val="el-GR"/>
        </w:rPr>
        <w:t xml:space="preserve"> </w:t>
      </w:r>
      <w:r w:rsidR="00D2168F">
        <w:rPr>
          <w:sz w:val="22"/>
          <w:szCs w:val="22"/>
          <w:lang w:val="el-GR"/>
        </w:rPr>
        <w:t>έναντι 558 εκατ. ευρώ το προηγούμενο τρίμηνο</w:t>
      </w:r>
      <w:r w:rsidRPr="006950E4">
        <w:rPr>
          <w:sz w:val="22"/>
          <w:szCs w:val="22"/>
          <w:lang w:val="el-GR"/>
        </w:rPr>
        <w:t xml:space="preserve">. </w:t>
      </w:r>
      <w:r w:rsidRPr="006950E4">
        <w:rPr>
          <w:sz w:val="22"/>
          <w:szCs w:val="22"/>
          <w:lang w:val="en-US"/>
        </w:rPr>
        <w:t>O</w:t>
      </w:r>
      <w:r w:rsidRPr="006950E4">
        <w:rPr>
          <w:sz w:val="22"/>
          <w:szCs w:val="22"/>
          <w:lang w:val="el-GR"/>
        </w:rPr>
        <w:t>ι καταθέσεις στα πιστωτικά ιδρύματα του εσωτερικού</w:t>
      </w:r>
      <w:r w:rsidR="002731A5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>αυξή</w:t>
      </w:r>
      <w:r w:rsidR="00E23B21">
        <w:rPr>
          <w:sz w:val="22"/>
          <w:szCs w:val="22"/>
          <w:lang w:val="el-GR"/>
        </w:rPr>
        <w:t>θηκαν</w:t>
      </w:r>
      <w:r w:rsidR="00AC4969">
        <w:rPr>
          <w:sz w:val="22"/>
          <w:szCs w:val="22"/>
          <w:lang w:val="el-GR"/>
        </w:rPr>
        <w:t xml:space="preserve"> κατά </w:t>
      </w:r>
      <w:r w:rsidR="00500F05">
        <w:rPr>
          <w:sz w:val="22"/>
          <w:szCs w:val="22"/>
          <w:lang w:val="el-GR"/>
        </w:rPr>
        <w:t>10</w:t>
      </w:r>
      <w:r w:rsidR="00AC4969">
        <w:rPr>
          <w:sz w:val="22"/>
          <w:szCs w:val="22"/>
          <w:lang w:val="el-GR"/>
        </w:rPr>
        <w:t xml:space="preserve"> εκατ. ευρώ και διαμορφώθηκαν </w:t>
      </w:r>
      <w:r w:rsidR="00500F05">
        <w:rPr>
          <w:sz w:val="22"/>
          <w:szCs w:val="22"/>
          <w:lang w:val="el-GR"/>
        </w:rPr>
        <w:t>στα 382</w:t>
      </w:r>
      <w:r w:rsidR="002731A5">
        <w:rPr>
          <w:sz w:val="22"/>
          <w:szCs w:val="22"/>
          <w:lang w:val="el-GR"/>
        </w:rPr>
        <w:t xml:space="preserve"> εκατ. ευρώ</w:t>
      </w:r>
      <w:r w:rsidRPr="006950E4">
        <w:rPr>
          <w:sz w:val="22"/>
          <w:szCs w:val="22"/>
          <w:lang w:val="el-GR"/>
        </w:rPr>
        <w:t>, ενώ οι καταθέσεις στα πιστωτικά ιδρύματα του εξωτερικού</w:t>
      </w:r>
      <w:r w:rsidR="002E16AE" w:rsidRPr="008A2A66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>μειώ</w:t>
      </w:r>
      <w:r w:rsidR="000103ED">
        <w:rPr>
          <w:sz w:val="22"/>
          <w:szCs w:val="22"/>
          <w:lang w:val="el-GR"/>
        </w:rPr>
        <w:t>θηκαν κα</w:t>
      </w:r>
      <w:r w:rsidR="00716FF3">
        <w:rPr>
          <w:sz w:val="22"/>
          <w:szCs w:val="22"/>
          <w:lang w:val="el-GR"/>
        </w:rPr>
        <w:t xml:space="preserve">τά </w:t>
      </w:r>
      <w:r w:rsidR="00500F05">
        <w:rPr>
          <w:sz w:val="22"/>
          <w:szCs w:val="22"/>
          <w:lang w:val="el-GR"/>
        </w:rPr>
        <w:t>8</w:t>
      </w:r>
      <w:r w:rsidR="00AA7461">
        <w:rPr>
          <w:sz w:val="22"/>
          <w:szCs w:val="22"/>
          <w:lang w:val="el-GR"/>
        </w:rPr>
        <w:t xml:space="preserve"> εκατ. ευρώ και διαμορφώθηκαν </w:t>
      </w:r>
      <w:r w:rsidR="00500F05">
        <w:rPr>
          <w:sz w:val="22"/>
          <w:szCs w:val="22"/>
          <w:lang w:val="el-GR"/>
        </w:rPr>
        <w:t>στα 178</w:t>
      </w:r>
      <w:r w:rsidR="002731A5">
        <w:rPr>
          <w:sz w:val="22"/>
          <w:szCs w:val="22"/>
          <w:lang w:val="el-GR"/>
        </w:rPr>
        <w:t xml:space="preserve"> εκατ. ευρώ</w:t>
      </w:r>
      <w:r w:rsidRPr="006950E4">
        <w:rPr>
          <w:sz w:val="22"/>
          <w:szCs w:val="22"/>
          <w:lang w:val="el-GR"/>
        </w:rPr>
        <w:t xml:space="preserve">. Το ποσοστό των καταθέσεων επί του συνολικού ενεργητικού </w:t>
      </w:r>
      <w:r w:rsidR="001C1419">
        <w:rPr>
          <w:sz w:val="22"/>
          <w:szCs w:val="22"/>
          <w:lang w:val="el-GR"/>
        </w:rPr>
        <w:t>παρέμεινε σχεδόν αμετάβλητ</w:t>
      </w:r>
      <w:r w:rsidR="00B47D6F">
        <w:rPr>
          <w:sz w:val="22"/>
          <w:szCs w:val="22"/>
          <w:lang w:val="el-GR"/>
        </w:rPr>
        <w:t>ο</w:t>
      </w:r>
      <w:r w:rsidR="00500F05">
        <w:rPr>
          <w:sz w:val="22"/>
          <w:szCs w:val="22"/>
          <w:lang w:val="el-GR"/>
        </w:rPr>
        <w:t xml:space="preserve"> στο 2,6% το α</w:t>
      </w:r>
      <w:r w:rsidR="00E526BA" w:rsidRPr="00682D30">
        <w:rPr>
          <w:sz w:val="22"/>
          <w:szCs w:val="22"/>
          <w:lang w:val="el-GR"/>
        </w:rPr>
        <w:t>΄</w:t>
      </w:r>
      <w:r w:rsidR="00BB2544">
        <w:rPr>
          <w:sz w:val="22"/>
          <w:szCs w:val="22"/>
          <w:lang w:val="el-GR"/>
        </w:rPr>
        <w:t xml:space="preserve"> τρίμηνο</w:t>
      </w:r>
      <w:r w:rsidR="00500F05">
        <w:rPr>
          <w:sz w:val="22"/>
          <w:szCs w:val="22"/>
          <w:lang w:val="el-GR"/>
        </w:rPr>
        <w:t xml:space="preserve"> του 2026</w:t>
      </w:r>
      <w:r w:rsidR="001C1419">
        <w:rPr>
          <w:sz w:val="22"/>
          <w:szCs w:val="22"/>
          <w:lang w:val="el-GR"/>
        </w:rPr>
        <w:t>.</w:t>
      </w:r>
    </w:p>
    <w:p w14:paraId="2DB0E083" w14:textId="77777777" w:rsidR="00520777" w:rsidRPr="00436F34" w:rsidRDefault="00520777" w:rsidP="00520777">
      <w:pPr>
        <w:spacing w:line="360" w:lineRule="auto"/>
        <w:jc w:val="both"/>
        <w:rPr>
          <w:sz w:val="22"/>
          <w:szCs w:val="22"/>
          <w:lang w:val="en-US"/>
        </w:rPr>
      </w:pPr>
      <w:r w:rsidRPr="006950E4">
        <w:rPr>
          <w:sz w:val="22"/>
          <w:szCs w:val="22"/>
          <w:lang w:val="el-GR"/>
        </w:rPr>
        <w:t xml:space="preserve">Η αξία των συνολικών τοποθετήσεων των ασφαλιστικών επιχειρήσεων σε χρεωστικούς τίτλους </w:t>
      </w:r>
      <w:r w:rsidR="00027F24">
        <w:rPr>
          <w:sz w:val="22"/>
          <w:szCs w:val="22"/>
          <w:lang w:val="el-GR"/>
        </w:rPr>
        <w:t>μειώ</w:t>
      </w:r>
      <w:r w:rsidR="00AA7461">
        <w:rPr>
          <w:sz w:val="22"/>
          <w:szCs w:val="22"/>
          <w:lang w:val="el-GR"/>
        </w:rPr>
        <w:t>θηκε</w:t>
      </w:r>
      <w:r w:rsidR="00F6275A">
        <w:rPr>
          <w:sz w:val="22"/>
          <w:szCs w:val="22"/>
          <w:lang w:val="el-GR"/>
        </w:rPr>
        <w:t xml:space="preserve"> σ</w:t>
      </w:r>
      <w:r w:rsidR="006A30C7">
        <w:rPr>
          <w:sz w:val="22"/>
          <w:szCs w:val="22"/>
          <w:lang w:val="el-GR"/>
        </w:rPr>
        <w:t>τα</w:t>
      </w:r>
      <w:r w:rsidR="00F6275A">
        <w:rPr>
          <w:sz w:val="22"/>
          <w:szCs w:val="22"/>
          <w:lang w:val="el-GR"/>
        </w:rPr>
        <w:t xml:space="preserve"> </w:t>
      </w:r>
      <w:r w:rsidR="00172659">
        <w:rPr>
          <w:sz w:val="22"/>
          <w:szCs w:val="22"/>
          <w:lang w:val="el-GR"/>
        </w:rPr>
        <w:t>10.</w:t>
      </w:r>
      <w:r w:rsidR="00500F05">
        <w:rPr>
          <w:sz w:val="22"/>
          <w:szCs w:val="22"/>
          <w:lang w:val="el-GR"/>
        </w:rPr>
        <w:t>571</w:t>
      </w:r>
      <w:r w:rsidR="006F7A91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εκατ. ευρώ στο τέλος του </w:t>
      </w:r>
      <w:r w:rsidR="00500F05">
        <w:rPr>
          <w:sz w:val="22"/>
          <w:szCs w:val="22"/>
          <w:lang w:val="el-GR"/>
        </w:rPr>
        <w:t>α</w:t>
      </w:r>
      <w:r w:rsidRPr="006950E4">
        <w:rPr>
          <w:sz w:val="22"/>
          <w:szCs w:val="22"/>
          <w:lang w:val="el-GR"/>
        </w:rPr>
        <w:t>΄ τριμήνου του 202</w:t>
      </w:r>
      <w:r w:rsidR="00500F05">
        <w:rPr>
          <w:sz w:val="22"/>
          <w:szCs w:val="22"/>
          <w:lang w:val="el-GR"/>
        </w:rPr>
        <w:t>6</w:t>
      </w:r>
      <w:r w:rsidRPr="006950E4">
        <w:rPr>
          <w:sz w:val="22"/>
          <w:szCs w:val="22"/>
          <w:lang w:val="el-GR"/>
        </w:rPr>
        <w:t xml:space="preserve">, έναντι </w:t>
      </w:r>
      <w:r w:rsidR="00500F05">
        <w:rPr>
          <w:sz w:val="22"/>
          <w:szCs w:val="22"/>
          <w:lang w:val="el-GR"/>
        </w:rPr>
        <w:t>10.62</w:t>
      </w:r>
      <w:r w:rsidR="001C1419">
        <w:rPr>
          <w:sz w:val="22"/>
          <w:szCs w:val="22"/>
          <w:lang w:val="el-GR"/>
        </w:rPr>
        <w:t>9</w:t>
      </w:r>
      <w:r w:rsidR="00172659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εκατ. ευρώ το προηγούμενο τρίμηνο</w:t>
      </w:r>
      <w:r w:rsidR="005B4F98">
        <w:rPr>
          <w:sz w:val="22"/>
          <w:szCs w:val="22"/>
          <w:lang w:val="el-GR"/>
        </w:rPr>
        <w:t>,</w:t>
      </w:r>
      <w:r w:rsidRPr="006950E4">
        <w:rPr>
          <w:sz w:val="22"/>
          <w:szCs w:val="22"/>
          <w:lang w:val="el-GR"/>
        </w:rPr>
        <w:t xml:space="preserve"> </w:t>
      </w:r>
      <w:r w:rsidR="0098101E" w:rsidRPr="00B1024B">
        <w:rPr>
          <w:sz w:val="22"/>
          <w:szCs w:val="22"/>
          <w:lang w:val="el-GR"/>
        </w:rPr>
        <w:t xml:space="preserve">εξέλιξη </w:t>
      </w:r>
      <w:r w:rsidR="005B4F98">
        <w:rPr>
          <w:sz w:val="22"/>
          <w:szCs w:val="22"/>
          <w:lang w:val="el-GR"/>
        </w:rPr>
        <w:t xml:space="preserve">που </w:t>
      </w:r>
      <w:r w:rsidR="00500F05">
        <w:rPr>
          <w:sz w:val="22"/>
          <w:szCs w:val="22"/>
          <w:lang w:val="el-GR"/>
        </w:rPr>
        <w:t>οφείλεται σε</w:t>
      </w:r>
      <w:r w:rsidR="00682489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 xml:space="preserve">μείωση </w:t>
      </w:r>
      <w:r w:rsidR="0091470C">
        <w:rPr>
          <w:sz w:val="22"/>
          <w:szCs w:val="22"/>
          <w:lang w:val="el-GR"/>
        </w:rPr>
        <w:t>των αποτιμήσεων</w:t>
      </w:r>
      <w:r w:rsidR="00682489">
        <w:rPr>
          <w:sz w:val="22"/>
          <w:szCs w:val="22"/>
          <w:lang w:val="el-GR"/>
        </w:rPr>
        <w:t xml:space="preserve"> </w:t>
      </w:r>
      <w:r w:rsidR="00500F05">
        <w:rPr>
          <w:sz w:val="22"/>
          <w:szCs w:val="22"/>
          <w:lang w:val="el-GR"/>
        </w:rPr>
        <w:t xml:space="preserve">των </w:t>
      </w:r>
      <w:r w:rsidR="0091470C">
        <w:rPr>
          <w:sz w:val="22"/>
          <w:szCs w:val="22"/>
          <w:lang w:val="el-GR"/>
        </w:rPr>
        <w:t>ομολόγων</w:t>
      </w:r>
      <w:r w:rsidR="00204D56" w:rsidRPr="00204D56">
        <w:rPr>
          <w:sz w:val="22"/>
          <w:szCs w:val="22"/>
          <w:lang w:val="el-GR"/>
        </w:rPr>
        <w:t xml:space="preserve"> </w:t>
      </w:r>
      <w:r w:rsidR="00204D56">
        <w:rPr>
          <w:sz w:val="22"/>
          <w:szCs w:val="22"/>
          <w:lang w:val="el-GR"/>
        </w:rPr>
        <w:t>του εσωτερικού και του εξωτερικού</w:t>
      </w:r>
      <w:r w:rsidR="00A93D44" w:rsidRPr="000B52ED">
        <w:rPr>
          <w:sz w:val="22"/>
          <w:szCs w:val="22"/>
          <w:lang w:val="el-GR"/>
        </w:rPr>
        <w:t>,</w:t>
      </w:r>
      <w:r w:rsidR="00500F05">
        <w:rPr>
          <w:sz w:val="22"/>
          <w:szCs w:val="22"/>
          <w:lang w:val="el-GR"/>
        </w:rPr>
        <w:t xml:space="preserve"> η οποία αντισταθμίστηκε εν μέρει από </w:t>
      </w:r>
      <w:r w:rsidR="0091470C">
        <w:rPr>
          <w:sz w:val="22"/>
          <w:szCs w:val="22"/>
          <w:lang w:val="el-GR"/>
        </w:rPr>
        <w:t xml:space="preserve">καθαρές αγορές </w:t>
      </w:r>
      <w:r w:rsidR="00682489">
        <w:rPr>
          <w:sz w:val="22"/>
          <w:szCs w:val="22"/>
          <w:lang w:val="el-GR"/>
        </w:rPr>
        <w:t>στο σύνολο</w:t>
      </w:r>
      <w:r w:rsidR="00146C01">
        <w:rPr>
          <w:sz w:val="22"/>
          <w:szCs w:val="22"/>
          <w:lang w:val="el-GR"/>
        </w:rPr>
        <w:t xml:space="preserve"> των ομολόγων</w:t>
      </w:r>
      <w:r w:rsidR="00C71703">
        <w:rPr>
          <w:sz w:val="22"/>
          <w:szCs w:val="22"/>
          <w:lang w:val="el-GR"/>
        </w:rPr>
        <w:t>.</w:t>
      </w:r>
      <w:r w:rsidR="006B1229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Το ποσοστό των χρεωστικών τίτλων επί του συνολικού ενεργητικού</w:t>
      </w:r>
      <w:r w:rsidR="0091470C">
        <w:rPr>
          <w:sz w:val="22"/>
          <w:szCs w:val="22"/>
          <w:lang w:val="el-GR"/>
        </w:rPr>
        <w:t xml:space="preserve"> παρέμεινε </w:t>
      </w:r>
      <w:r w:rsidR="0091470C" w:rsidRPr="0091470C">
        <w:rPr>
          <w:sz w:val="22"/>
          <w:szCs w:val="22"/>
          <w:lang w:val="el-GR"/>
        </w:rPr>
        <w:t>αμετάβλητο έναντι του προηγουμένου τριμήνου και διαμορφώθηκε στο</w:t>
      </w:r>
      <w:r w:rsidRPr="006950E4">
        <w:rPr>
          <w:sz w:val="22"/>
          <w:szCs w:val="22"/>
          <w:lang w:val="el-GR"/>
        </w:rPr>
        <w:t xml:space="preserve"> </w:t>
      </w:r>
      <w:r w:rsidR="0091470C" w:rsidRPr="0091470C">
        <w:rPr>
          <w:sz w:val="22"/>
          <w:szCs w:val="22"/>
          <w:lang w:val="el-GR"/>
        </w:rPr>
        <w:t xml:space="preserve"> </w:t>
      </w:r>
      <w:r w:rsidR="00027F24">
        <w:rPr>
          <w:sz w:val="22"/>
          <w:szCs w:val="22"/>
          <w:lang w:val="el-GR"/>
        </w:rPr>
        <w:t>48,2</w:t>
      </w:r>
      <w:r w:rsidRPr="006950E4">
        <w:rPr>
          <w:sz w:val="22"/>
          <w:szCs w:val="22"/>
          <w:lang w:val="el-GR"/>
        </w:rPr>
        <w:t>%</w:t>
      </w:r>
      <w:r w:rsidR="00B514A2">
        <w:rPr>
          <w:sz w:val="22"/>
          <w:szCs w:val="22"/>
          <w:lang w:val="el-GR"/>
        </w:rPr>
        <w:t xml:space="preserve"> </w:t>
      </w:r>
      <w:r w:rsidR="00B514A2" w:rsidRPr="006950E4">
        <w:rPr>
          <w:sz w:val="22"/>
          <w:szCs w:val="22"/>
          <w:lang w:val="el-GR"/>
        </w:rPr>
        <w:t xml:space="preserve">το </w:t>
      </w:r>
      <w:r w:rsidR="0091470C">
        <w:rPr>
          <w:sz w:val="22"/>
          <w:szCs w:val="22"/>
          <w:lang w:val="el-GR"/>
        </w:rPr>
        <w:t>α</w:t>
      </w:r>
      <w:r w:rsidR="00B514A2" w:rsidRPr="006950E4">
        <w:rPr>
          <w:sz w:val="22"/>
          <w:szCs w:val="22"/>
          <w:lang w:val="el-GR"/>
        </w:rPr>
        <w:t>΄ τρίμηνο</w:t>
      </w:r>
      <w:r w:rsidR="0091470C">
        <w:rPr>
          <w:sz w:val="22"/>
          <w:szCs w:val="22"/>
          <w:lang w:val="el-GR"/>
        </w:rPr>
        <w:t xml:space="preserve"> του 2026</w:t>
      </w:r>
      <w:r w:rsidR="00C76B67" w:rsidRPr="006950E4">
        <w:rPr>
          <w:sz w:val="22"/>
          <w:szCs w:val="22"/>
          <w:lang w:val="el-GR"/>
        </w:rPr>
        <w:t>.</w:t>
      </w:r>
    </w:p>
    <w:p w14:paraId="75A1C7F2" w14:textId="77777777" w:rsidR="00C904E5" w:rsidRPr="006950E4" w:rsidRDefault="00520777" w:rsidP="00C904E5">
      <w:pPr>
        <w:spacing w:line="360" w:lineRule="auto"/>
        <w:jc w:val="both"/>
        <w:rPr>
          <w:sz w:val="22"/>
          <w:szCs w:val="22"/>
          <w:lang w:val="el-GR"/>
        </w:rPr>
      </w:pPr>
      <w:r w:rsidRPr="006950E4">
        <w:rPr>
          <w:sz w:val="22"/>
          <w:szCs w:val="22"/>
          <w:lang w:val="el-GR"/>
        </w:rPr>
        <w:t>Η αξία των συνολικών τοποθετήσεων σ</w:t>
      </w:r>
      <w:r w:rsidR="00B25B99">
        <w:rPr>
          <w:sz w:val="22"/>
          <w:szCs w:val="22"/>
          <w:lang w:val="el-GR"/>
        </w:rPr>
        <w:t xml:space="preserve">ε μερίδια αμοιβαίων κεφαλαίων </w:t>
      </w:r>
      <w:r w:rsidR="00436F34">
        <w:rPr>
          <w:sz w:val="22"/>
          <w:szCs w:val="22"/>
          <w:lang w:val="el-GR"/>
        </w:rPr>
        <w:t>μειώ</w:t>
      </w:r>
      <w:r w:rsidR="00404404">
        <w:rPr>
          <w:sz w:val="22"/>
          <w:szCs w:val="22"/>
          <w:lang w:val="el-GR"/>
        </w:rPr>
        <w:t xml:space="preserve">θηκε </w:t>
      </w:r>
      <w:r w:rsidR="00CA360B">
        <w:rPr>
          <w:sz w:val="22"/>
          <w:szCs w:val="22"/>
          <w:lang w:val="el-GR"/>
        </w:rPr>
        <w:t>στα</w:t>
      </w:r>
      <w:r w:rsidRPr="006950E4">
        <w:rPr>
          <w:sz w:val="22"/>
          <w:szCs w:val="22"/>
          <w:lang w:val="el-GR"/>
        </w:rPr>
        <w:t xml:space="preserve"> </w:t>
      </w:r>
      <w:r w:rsidR="00436F34">
        <w:rPr>
          <w:sz w:val="22"/>
          <w:szCs w:val="22"/>
          <w:lang w:val="el-GR"/>
        </w:rPr>
        <w:t>7.315 εκατ. ευρώ, έναντι 7.373</w:t>
      </w:r>
      <w:r w:rsidR="00B25B99">
        <w:rPr>
          <w:sz w:val="22"/>
          <w:szCs w:val="22"/>
          <w:lang w:val="el-GR"/>
        </w:rPr>
        <w:t xml:space="preserve"> εκατ. ευρώ το προηγούμενο τρίμηνο</w:t>
      </w:r>
      <w:r w:rsidR="00CC6E43">
        <w:rPr>
          <w:sz w:val="22"/>
          <w:szCs w:val="22"/>
          <w:lang w:val="el-GR"/>
        </w:rPr>
        <w:t>,</w:t>
      </w:r>
      <w:r w:rsidR="00B25B99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και το ποσοστό τους επί του συνόλου του ενεργητικού</w:t>
      </w:r>
      <w:r w:rsidR="00C904E5">
        <w:rPr>
          <w:sz w:val="22"/>
          <w:szCs w:val="22"/>
          <w:lang w:val="el-GR"/>
        </w:rPr>
        <w:t xml:space="preserve"> </w:t>
      </w:r>
      <w:r w:rsidR="00436F34">
        <w:rPr>
          <w:sz w:val="22"/>
          <w:szCs w:val="22"/>
          <w:lang w:val="el-GR"/>
        </w:rPr>
        <w:t xml:space="preserve">παρέμεινε σχεδόν αμετάβλητο </w:t>
      </w:r>
      <w:r w:rsidR="00A93D44">
        <w:rPr>
          <w:sz w:val="22"/>
          <w:szCs w:val="22"/>
          <w:lang w:val="el-GR"/>
        </w:rPr>
        <w:t>στο 33,3% το α</w:t>
      </w:r>
      <w:r w:rsidR="00A93D44" w:rsidRPr="00682D30">
        <w:rPr>
          <w:sz w:val="22"/>
          <w:szCs w:val="22"/>
          <w:lang w:val="el-GR"/>
        </w:rPr>
        <w:t>΄</w:t>
      </w:r>
      <w:r w:rsidR="00A93D44">
        <w:rPr>
          <w:sz w:val="22"/>
          <w:szCs w:val="22"/>
          <w:lang w:val="el-GR"/>
        </w:rPr>
        <w:t xml:space="preserve"> τρίμηνο του 2026</w:t>
      </w:r>
      <w:r w:rsidR="00A93D44" w:rsidRPr="000B52ED">
        <w:rPr>
          <w:sz w:val="22"/>
          <w:szCs w:val="22"/>
          <w:lang w:val="el-GR"/>
        </w:rPr>
        <w:t xml:space="preserve"> </w:t>
      </w:r>
      <w:r w:rsidR="00436F34" w:rsidRPr="00436F34">
        <w:rPr>
          <w:sz w:val="22"/>
          <w:szCs w:val="22"/>
          <w:lang w:val="el-GR"/>
        </w:rPr>
        <w:t>έναντι του προηγου</w:t>
      </w:r>
      <w:r w:rsidR="00436F34">
        <w:rPr>
          <w:sz w:val="22"/>
          <w:szCs w:val="22"/>
          <w:lang w:val="el-GR"/>
        </w:rPr>
        <w:t>μένου τριμήνου</w:t>
      </w:r>
      <w:r w:rsidR="00C904E5" w:rsidRPr="006950E4">
        <w:rPr>
          <w:sz w:val="22"/>
          <w:szCs w:val="22"/>
          <w:lang w:val="el-GR"/>
        </w:rPr>
        <w:t>.</w:t>
      </w:r>
      <w:r w:rsidR="00436F34">
        <w:rPr>
          <w:sz w:val="22"/>
          <w:szCs w:val="22"/>
          <w:lang w:val="el-GR"/>
        </w:rPr>
        <w:t xml:space="preserve"> Η μείω</w:t>
      </w:r>
      <w:r w:rsidR="00404404">
        <w:rPr>
          <w:sz w:val="22"/>
          <w:szCs w:val="22"/>
          <w:lang w:val="el-GR"/>
        </w:rPr>
        <w:t xml:space="preserve">ση της αξίας των τοποθετήσεων </w:t>
      </w:r>
      <w:r w:rsidR="00A44DC2">
        <w:rPr>
          <w:sz w:val="22"/>
          <w:szCs w:val="22"/>
          <w:lang w:val="el-GR"/>
        </w:rPr>
        <w:t>οφείλεται</w:t>
      </w:r>
      <w:r w:rsidR="00A43429">
        <w:rPr>
          <w:sz w:val="22"/>
          <w:szCs w:val="22"/>
          <w:lang w:val="el-GR"/>
        </w:rPr>
        <w:t xml:space="preserve"> </w:t>
      </w:r>
      <w:r w:rsidR="00436F34">
        <w:rPr>
          <w:sz w:val="22"/>
          <w:szCs w:val="22"/>
          <w:lang w:val="el-GR"/>
        </w:rPr>
        <w:t>σε μείωση των τιμών</w:t>
      </w:r>
      <w:r w:rsidR="00AF0D58">
        <w:rPr>
          <w:sz w:val="22"/>
          <w:szCs w:val="22"/>
          <w:lang w:val="el-GR"/>
        </w:rPr>
        <w:t xml:space="preserve"> </w:t>
      </w:r>
      <w:r w:rsidR="00436F34">
        <w:rPr>
          <w:sz w:val="22"/>
          <w:szCs w:val="22"/>
          <w:lang w:val="el-GR"/>
        </w:rPr>
        <w:t>μεριδίων</w:t>
      </w:r>
      <w:r w:rsidR="00AF0D58" w:rsidRPr="00AF0D58">
        <w:rPr>
          <w:sz w:val="22"/>
          <w:szCs w:val="22"/>
          <w:lang w:val="el-GR"/>
        </w:rPr>
        <w:t xml:space="preserve"> </w:t>
      </w:r>
      <w:r w:rsidR="00AF0D58">
        <w:rPr>
          <w:sz w:val="22"/>
          <w:szCs w:val="22"/>
          <w:lang w:val="el-GR"/>
        </w:rPr>
        <w:t>του εσωτερικού και του εξωτερικού</w:t>
      </w:r>
      <w:r w:rsidR="00A93D44" w:rsidRPr="000B52ED">
        <w:rPr>
          <w:sz w:val="22"/>
          <w:szCs w:val="22"/>
          <w:lang w:val="el-GR"/>
        </w:rPr>
        <w:t>,</w:t>
      </w:r>
      <w:r w:rsidR="00436F34">
        <w:rPr>
          <w:sz w:val="22"/>
          <w:szCs w:val="22"/>
          <w:lang w:val="el-GR"/>
        </w:rPr>
        <w:t xml:space="preserve"> η οποία αντισταθμίστηκε εν μέρει από καθαρές αγορές </w:t>
      </w:r>
      <w:r w:rsidR="00E1021C">
        <w:rPr>
          <w:sz w:val="22"/>
          <w:szCs w:val="22"/>
          <w:lang w:val="el-GR"/>
        </w:rPr>
        <w:t xml:space="preserve">στο σύνολο των </w:t>
      </w:r>
      <w:r w:rsidR="00436F34">
        <w:rPr>
          <w:sz w:val="22"/>
          <w:szCs w:val="22"/>
          <w:lang w:val="el-GR"/>
        </w:rPr>
        <w:t>μεριδίων</w:t>
      </w:r>
      <w:r w:rsidR="00341B92">
        <w:rPr>
          <w:sz w:val="22"/>
          <w:szCs w:val="22"/>
          <w:lang w:val="el-GR"/>
        </w:rPr>
        <w:t>.</w:t>
      </w:r>
    </w:p>
    <w:p w14:paraId="5A807E42" w14:textId="77777777" w:rsidR="00520777" w:rsidRPr="006950E4" w:rsidRDefault="00520777" w:rsidP="00520777">
      <w:pPr>
        <w:spacing w:line="360" w:lineRule="auto"/>
        <w:jc w:val="both"/>
        <w:rPr>
          <w:sz w:val="22"/>
          <w:szCs w:val="22"/>
          <w:lang w:val="el-GR"/>
        </w:rPr>
      </w:pPr>
      <w:r w:rsidRPr="006950E4">
        <w:rPr>
          <w:sz w:val="22"/>
          <w:szCs w:val="22"/>
          <w:lang w:val="el-GR"/>
        </w:rPr>
        <w:lastRenderedPageBreak/>
        <w:t>Η αξία των συνολικών τοποθετήσεων σε μετοχές και λοιπ</w:t>
      </w:r>
      <w:r w:rsidR="00871F0B">
        <w:rPr>
          <w:sz w:val="22"/>
          <w:szCs w:val="22"/>
          <w:lang w:val="el-GR"/>
        </w:rPr>
        <w:t>ά μέσα κυριότητας</w:t>
      </w:r>
      <w:r w:rsidRPr="006950E4">
        <w:rPr>
          <w:sz w:val="22"/>
          <w:szCs w:val="22"/>
          <w:lang w:val="el-GR"/>
        </w:rPr>
        <w:t xml:space="preserve"> </w:t>
      </w:r>
      <w:r w:rsidR="00DA1F19">
        <w:rPr>
          <w:sz w:val="22"/>
          <w:szCs w:val="22"/>
          <w:lang w:val="el-GR"/>
        </w:rPr>
        <w:t>μειώ</w:t>
      </w:r>
      <w:r w:rsidR="004A5226">
        <w:rPr>
          <w:sz w:val="22"/>
          <w:szCs w:val="22"/>
          <w:lang w:val="el-GR"/>
        </w:rPr>
        <w:t xml:space="preserve">θηκε </w:t>
      </w:r>
      <w:r w:rsidR="006A30C7">
        <w:rPr>
          <w:sz w:val="22"/>
          <w:szCs w:val="22"/>
          <w:lang w:val="el-GR"/>
        </w:rPr>
        <w:t>στα</w:t>
      </w:r>
      <w:r w:rsidRPr="006950E4">
        <w:rPr>
          <w:sz w:val="22"/>
          <w:szCs w:val="22"/>
          <w:lang w:val="el-GR"/>
        </w:rPr>
        <w:t xml:space="preserve"> </w:t>
      </w:r>
      <w:r w:rsidR="001C371D" w:rsidRPr="001C371D">
        <w:rPr>
          <w:sz w:val="22"/>
          <w:szCs w:val="22"/>
          <w:lang w:val="el-GR"/>
        </w:rPr>
        <w:t>996</w:t>
      </w:r>
      <w:r w:rsidRPr="006950E4">
        <w:rPr>
          <w:sz w:val="22"/>
          <w:szCs w:val="22"/>
          <w:lang w:val="el-GR"/>
        </w:rPr>
        <w:t xml:space="preserve"> εκατ. ευρώ, έναντι </w:t>
      </w:r>
      <w:r w:rsidR="001C371D">
        <w:rPr>
          <w:sz w:val="22"/>
          <w:szCs w:val="22"/>
          <w:lang w:val="el-GR"/>
        </w:rPr>
        <w:t>1.0</w:t>
      </w:r>
      <w:r w:rsidR="001C371D" w:rsidRPr="001C371D">
        <w:rPr>
          <w:sz w:val="22"/>
          <w:szCs w:val="22"/>
          <w:lang w:val="el-GR"/>
        </w:rPr>
        <w:t>34</w:t>
      </w:r>
      <w:r w:rsidRPr="006950E4">
        <w:rPr>
          <w:sz w:val="22"/>
          <w:szCs w:val="22"/>
          <w:lang w:val="el-GR"/>
        </w:rPr>
        <w:t xml:space="preserve"> εκ</w:t>
      </w:r>
      <w:r w:rsidR="004A5226">
        <w:rPr>
          <w:sz w:val="22"/>
          <w:szCs w:val="22"/>
          <w:lang w:val="el-GR"/>
        </w:rPr>
        <w:t>ατ. ευρώ το προηγούμενο τρίμηνο</w:t>
      </w:r>
      <w:r w:rsidR="00404404">
        <w:rPr>
          <w:sz w:val="22"/>
          <w:szCs w:val="22"/>
          <w:lang w:val="el-GR"/>
        </w:rPr>
        <w:t xml:space="preserve">, εξέλιξη που οφείλεται </w:t>
      </w:r>
      <w:r w:rsidR="00826F93">
        <w:rPr>
          <w:sz w:val="22"/>
          <w:szCs w:val="22"/>
          <w:lang w:val="el-GR"/>
        </w:rPr>
        <w:t xml:space="preserve">κυρίως </w:t>
      </w:r>
      <w:r w:rsidR="00041FD5">
        <w:rPr>
          <w:sz w:val="22"/>
          <w:szCs w:val="22"/>
          <w:lang w:val="el-GR"/>
        </w:rPr>
        <w:t xml:space="preserve">σε </w:t>
      </w:r>
      <w:r w:rsidR="00A44DC2">
        <w:rPr>
          <w:sz w:val="22"/>
          <w:szCs w:val="22"/>
          <w:lang w:val="el-GR"/>
        </w:rPr>
        <w:t>μείωσ</w:t>
      </w:r>
      <w:r w:rsidR="001C371D">
        <w:rPr>
          <w:sz w:val="22"/>
          <w:szCs w:val="22"/>
          <w:lang w:val="el-GR"/>
        </w:rPr>
        <w:t>η των αποτιμήσεων μετοχών του εξ</w:t>
      </w:r>
      <w:r w:rsidR="00A44DC2">
        <w:rPr>
          <w:sz w:val="22"/>
          <w:szCs w:val="22"/>
          <w:lang w:val="el-GR"/>
        </w:rPr>
        <w:t>ωτερικού</w:t>
      </w:r>
      <w:r w:rsidR="001C371D" w:rsidRPr="001C371D">
        <w:rPr>
          <w:sz w:val="22"/>
          <w:szCs w:val="22"/>
          <w:lang w:val="el-GR"/>
        </w:rPr>
        <w:t>.</w:t>
      </w:r>
      <w:r w:rsidR="00404404">
        <w:rPr>
          <w:sz w:val="22"/>
          <w:szCs w:val="22"/>
          <w:lang w:val="el-GR"/>
        </w:rPr>
        <w:t xml:space="preserve"> </w:t>
      </w:r>
      <w:r w:rsidR="0053772A">
        <w:rPr>
          <w:sz w:val="22"/>
          <w:szCs w:val="22"/>
          <w:lang w:val="el-GR"/>
        </w:rPr>
        <w:t>Τ</w:t>
      </w:r>
      <w:r w:rsidR="00F71183">
        <w:rPr>
          <w:sz w:val="22"/>
          <w:szCs w:val="22"/>
          <w:lang w:val="el-GR"/>
        </w:rPr>
        <w:t>ο</w:t>
      </w:r>
      <w:r w:rsidR="00EE0810" w:rsidRPr="00EE0810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ποσοστό </w:t>
      </w:r>
      <w:r w:rsidR="00A718E6">
        <w:rPr>
          <w:sz w:val="22"/>
          <w:szCs w:val="22"/>
          <w:lang w:val="el-GR"/>
        </w:rPr>
        <w:t>των συνολικών τοποθετήσεων σε μετοχές</w:t>
      </w:r>
      <w:r w:rsidR="00A718E6" w:rsidRPr="006950E4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επί του συνόλου του ενεργητικού </w:t>
      </w:r>
      <w:r w:rsidR="00414857">
        <w:rPr>
          <w:sz w:val="22"/>
          <w:szCs w:val="22"/>
          <w:lang w:val="el-GR"/>
        </w:rPr>
        <w:t xml:space="preserve">παρέμεινε σχεδόν αμετάβλητο </w:t>
      </w:r>
      <w:r w:rsidR="00176C7A">
        <w:rPr>
          <w:sz w:val="22"/>
          <w:szCs w:val="22"/>
          <w:lang w:val="el-GR"/>
        </w:rPr>
        <w:t xml:space="preserve">έναντι του προηγουμένου τριμήνου και διαμορφώθηκε </w:t>
      </w:r>
      <w:r>
        <w:rPr>
          <w:sz w:val="22"/>
          <w:szCs w:val="22"/>
          <w:lang w:val="el-GR"/>
        </w:rPr>
        <w:t>στο</w:t>
      </w:r>
      <w:r w:rsidR="00E57220">
        <w:rPr>
          <w:sz w:val="22"/>
          <w:szCs w:val="22"/>
          <w:lang w:val="el-GR"/>
        </w:rPr>
        <w:t xml:space="preserve"> 4,5</w:t>
      </w:r>
      <w:r w:rsidRPr="006950E4">
        <w:rPr>
          <w:sz w:val="22"/>
          <w:szCs w:val="22"/>
          <w:lang w:val="el-GR"/>
        </w:rPr>
        <w:t>%</w:t>
      </w:r>
      <w:r w:rsidR="00E57220">
        <w:rPr>
          <w:sz w:val="22"/>
          <w:szCs w:val="22"/>
          <w:lang w:val="el-GR"/>
        </w:rPr>
        <w:t xml:space="preserve"> το α</w:t>
      </w:r>
      <w:r w:rsidR="00E526BA" w:rsidRPr="00682D30">
        <w:rPr>
          <w:sz w:val="22"/>
          <w:szCs w:val="22"/>
          <w:lang w:val="el-GR"/>
        </w:rPr>
        <w:t>΄</w:t>
      </w:r>
      <w:r w:rsidR="00E728B4">
        <w:rPr>
          <w:sz w:val="22"/>
          <w:szCs w:val="22"/>
          <w:lang w:val="el-GR"/>
        </w:rPr>
        <w:t xml:space="preserve"> τρίμηνο</w:t>
      </w:r>
      <w:r w:rsidR="00E57220">
        <w:rPr>
          <w:sz w:val="22"/>
          <w:szCs w:val="22"/>
          <w:lang w:val="el-GR"/>
        </w:rPr>
        <w:t xml:space="preserve"> του 2026</w:t>
      </w:r>
      <w:r w:rsidR="001C2E8A">
        <w:rPr>
          <w:sz w:val="22"/>
          <w:szCs w:val="22"/>
          <w:lang w:val="el-GR"/>
        </w:rPr>
        <w:t>.</w:t>
      </w:r>
    </w:p>
    <w:p w14:paraId="0E7880D2" w14:textId="77777777" w:rsidR="00724E80" w:rsidRDefault="00520777" w:rsidP="00724E80">
      <w:pPr>
        <w:spacing w:after="80" w:line="360" w:lineRule="auto"/>
        <w:jc w:val="both"/>
        <w:rPr>
          <w:i/>
          <w:sz w:val="22"/>
          <w:szCs w:val="22"/>
          <w:lang w:val="el-GR"/>
        </w:rPr>
      </w:pPr>
      <w:r w:rsidRPr="006950E4">
        <w:rPr>
          <w:sz w:val="22"/>
          <w:szCs w:val="22"/>
          <w:lang w:val="el-GR"/>
        </w:rPr>
        <w:t>Από την πλευρά του πα</w:t>
      </w:r>
      <w:r w:rsidR="000243CF">
        <w:rPr>
          <w:sz w:val="22"/>
          <w:szCs w:val="22"/>
          <w:lang w:val="el-GR"/>
        </w:rPr>
        <w:t>θητικού, τα ίδια κεφάλαια</w:t>
      </w:r>
      <w:r w:rsidRPr="006950E4">
        <w:rPr>
          <w:sz w:val="22"/>
          <w:szCs w:val="22"/>
          <w:lang w:val="el-GR"/>
        </w:rPr>
        <w:t xml:space="preserve"> </w:t>
      </w:r>
      <w:r w:rsidR="00E57220">
        <w:rPr>
          <w:sz w:val="22"/>
          <w:szCs w:val="22"/>
          <w:lang w:val="el-GR"/>
        </w:rPr>
        <w:t>διαμορφώθηκαν</w:t>
      </w:r>
      <w:r w:rsidRPr="006950E4">
        <w:rPr>
          <w:sz w:val="22"/>
          <w:szCs w:val="22"/>
          <w:lang w:val="el-GR"/>
        </w:rPr>
        <w:t xml:space="preserve"> σ</w:t>
      </w:r>
      <w:r w:rsidR="00CA360B">
        <w:rPr>
          <w:sz w:val="22"/>
          <w:szCs w:val="22"/>
          <w:lang w:val="el-GR"/>
        </w:rPr>
        <w:t>τα</w:t>
      </w:r>
      <w:r w:rsidRPr="006950E4">
        <w:rPr>
          <w:sz w:val="22"/>
          <w:szCs w:val="22"/>
          <w:lang w:val="el-GR"/>
        </w:rPr>
        <w:t xml:space="preserve"> 3.</w:t>
      </w:r>
      <w:r w:rsidR="00E57220">
        <w:rPr>
          <w:sz w:val="22"/>
          <w:szCs w:val="22"/>
          <w:lang w:val="el-GR"/>
        </w:rPr>
        <w:t>894</w:t>
      </w:r>
      <w:r w:rsidR="005A2D03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εκατ. ευρώ στο τέλος του </w:t>
      </w:r>
      <w:r w:rsidR="00E57220">
        <w:rPr>
          <w:sz w:val="22"/>
          <w:szCs w:val="22"/>
          <w:lang w:val="el-GR"/>
        </w:rPr>
        <w:t>α</w:t>
      </w:r>
      <w:r w:rsidRPr="006950E4">
        <w:rPr>
          <w:sz w:val="22"/>
          <w:szCs w:val="22"/>
          <w:lang w:val="el-GR"/>
        </w:rPr>
        <w:t>΄ τριμήνου του 202</w:t>
      </w:r>
      <w:r w:rsidR="00E57220">
        <w:rPr>
          <w:sz w:val="22"/>
          <w:szCs w:val="22"/>
          <w:lang w:val="el-GR"/>
        </w:rPr>
        <w:t>6</w:t>
      </w:r>
      <w:r w:rsidRPr="006950E4">
        <w:rPr>
          <w:sz w:val="22"/>
          <w:szCs w:val="22"/>
          <w:lang w:val="el-GR"/>
        </w:rPr>
        <w:t xml:space="preserve">. Οι ασφαλιστικές τεχνικές προβλέψεις </w:t>
      </w:r>
      <w:r w:rsidR="00E57220">
        <w:rPr>
          <w:sz w:val="22"/>
          <w:szCs w:val="22"/>
          <w:lang w:val="el-GR"/>
        </w:rPr>
        <w:t>μειώθ</w:t>
      </w:r>
      <w:r w:rsidR="008B4C98">
        <w:rPr>
          <w:sz w:val="22"/>
          <w:szCs w:val="22"/>
          <w:lang w:val="el-GR"/>
        </w:rPr>
        <w:t>ηκαν</w:t>
      </w:r>
      <w:r w:rsidR="008B4C98" w:rsidRPr="006950E4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 xml:space="preserve">κατά </w:t>
      </w:r>
      <w:r w:rsidR="00E57220">
        <w:rPr>
          <w:sz w:val="22"/>
          <w:szCs w:val="22"/>
          <w:lang w:val="el-GR"/>
        </w:rPr>
        <w:t>64</w:t>
      </w:r>
      <w:r w:rsidR="00B107D9" w:rsidRPr="006950E4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εκατ. ευρώ και διαμορφώθηκαν σ</w:t>
      </w:r>
      <w:r>
        <w:rPr>
          <w:sz w:val="22"/>
          <w:szCs w:val="22"/>
          <w:lang w:val="el-GR"/>
        </w:rPr>
        <w:t>τα</w:t>
      </w:r>
      <w:r w:rsidR="00E57220">
        <w:rPr>
          <w:sz w:val="22"/>
          <w:szCs w:val="22"/>
          <w:lang w:val="el-GR"/>
        </w:rPr>
        <w:t xml:space="preserve"> 15.992</w:t>
      </w:r>
      <w:r w:rsidR="00AC4969" w:rsidRPr="006950E4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εκατ. ευρώ</w:t>
      </w:r>
      <w:r w:rsidR="00943696">
        <w:rPr>
          <w:sz w:val="22"/>
          <w:szCs w:val="22"/>
          <w:lang w:val="el-GR"/>
        </w:rPr>
        <w:t xml:space="preserve">. </w:t>
      </w:r>
      <w:r w:rsidR="0047134D">
        <w:rPr>
          <w:sz w:val="22"/>
          <w:szCs w:val="22"/>
          <w:lang w:val="el-GR"/>
        </w:rPr>
        <w:t>Αναλυτικότερα, ο</w:t>
      </w:r>
      <w:r w:rsidR="00943696">
        <w:rPr>
          <w:sz w:val="22"/>
          <w:szCs w:val="22"/>
          <w:lang w:val="el-GR"/>
        </w:rPr>
        <w:t>ι ασφαλιστ</w:t>
      </w:r>
      <w:r w:rsidR="00D03708">
        <w:rPr>
          <w:sz w:val="22"/>
          <w:szCs w:val="22"/>
          <w:lang w:val="el-GR"/>
        </w:rPr>
        <w:t>ικ</w:t>
      </w:r>
      <w:r w:rsidR="00E57220">
        <w:rPr>
          <w:sz w:val="22"/>
          <w:szCs w:val="22"/>
          <w:lang w:val="el-GR"/>
        </w:rPr>
        <w:t>ές τεχνικές προβλέψεις ζωής μειώ</w:t>
      </w:r>
      <w:r w:rsidR="00D03708">
        <w:rPr>
          <w:sz w:val="22"/>
          <w:szCs w:val="22"/>
          <w:lang w:val="el-GR"/>
        </w:rPr>
        <w:t>θηκαν</w:t>
      </w:r>
      <w:r w:rsidR="00943696">
        <w:rPr>
          <w:sz w:val="22"/>
          <w:szCs w:val="22"/>
          <w:lang w:val="el-GR"/>
        </w:rPr>
        <w:t xml:space="preserve"> κατά </w:t>
      </w:r>
      <w:r w:rsidR="00E57220">
        <w:rPr>
          <w:sz w:val="22"/>
          <w:szCs w:val="22"/>
          <w:lang w:val="el-GR"/>
        </w:rPr>
        <w:t>90</w:t>
      </w:r>
      <w:r w:rsidR="00581ADC">
        <w:rPr>
          <w:sz w:val="22"/>
          <w:szCs w:val="22"/>
          <w:lang w:val="el-GR"/>
        </w:rPr>
        <w:t xml:space="preserve"> </w:t>
      </w:r>
      <w:r w:rsidRPr="006950E4">
        <w:rPr>
          <w:sz w:val="22"/>
          <w:szCs w:val="22"/>
          <w:lang w:val="el-GR"/>
        </w:rPr>
        <w:t>εκατ. ευρώ</w:t>
      </w:r>
      <w:r w:rsidR="00581ADC">
        <w:rPr>
          <w:sz w:val="22"/>
          <w:szCs w:val="22"/>
          <w:lang w:val="el-GR"/>
        </w:rPr>
        <w:t xml:space="preserve"> και διαμορφώ</w:t>
      </w:r>
      <w:r w:rsidR="00037252">
        <w:rPr>
          <w:sz w:val="22"/>
          <w:szCs w:val="22"/>
          <w:lang w:val="el-GR"/>
        </w:rPr>
        <w:t>θηκαν</w:t>
      </w:r>
      <w:r w:rsidR="00E57220">
        <w:rPr>
          <w:sz w:val="22"/>
          <w:szCs w:val="22"/>
          <w:lang w:val="el-GR"/>
        </w:rPr>
        <w:t xml:space="preserve"> στα 12.43</w:t>
      </w:r>
      <w:r w:rsidR="00B47D6F">
        <w:rPr>
          <w:sz w:val="22"/>
          <w:szCs w:val="22"/>
          <w:lang w:val="el-GR"/>
        </w:rPr>
        <w:t>9</w:t>
      </w:r>
      <w:r w:rsidR="00943696">
        <w:rPr>
          <w:sz w:val="22"/>
          <w:szCs w:val="22"/>
          <w:lang w:val="el-GR"/>
        </w:rPr>
        <w:t xml:space="preserve"> εκατ. ευρώ, ενώ οι</w:t>
      </w:r>
      <w:r w:rsidRPr="006950E4">
        <w:rPr>
          <w:sz w:val="22"/>
          <w:szCs w:val="22"/>
          <w:lang w:val="el-GR"/>
        </w:rPr>
        <w:t xml:space="preserve"> τεχνικές προβλέψεις ζημιών</w:t>
      </w:r>
      <w:r w:rsidR="00037252">
        <w:rPr>
          <w:sz w:val="22"/>
          <w:szCs w:val="22"/>
          <w:lang w:val="el-GR"/>
        </w:rPr>
        <w:t xml:space="preserve"> </w:t>
      </w:r>
      <w:r w:rsidR="00E57220">
        <w:rPr>
          <w:sz w:val="22"/>
          <w:szCs w:val="22"/>
          <w:lang w:val="el-GR"/>
        </w:rPr>
        <w:t>αυξή</w:t>
      </w:r>
      <w:r w:rsidR="00B47D6F">
        <w:rPr>
          <w:sz w:val="22"/>
          <w:szCs w:val="22"/>
          <w:lang w:val="el-GR"/>
        </w:rPr>
        <w:t xml:space="preserve">θηκαν κατά </w:t>
      </w:r>
      <w:r w:rsidR="00E57220">
        <w:rPr>
          <w:sz w:val="22"/>
          <w:szCs w:val="22"/>
          <w:lang w:val="el-GR"/>
        </w:rPr>
        <w:t>26</w:t>
      </w:r>
      <w:r w:rsidR="00D32318">
        <w:rPr>
          <w:sz w:val="22"/>
          <w:szCs w:val="22"/>
          <w:lang w:val="el-GR"/>
        </w:rPr>
        <w:t xml:space="preserve"> εκατ. ευρώ και </w:t>
      </w:r>
      <w:r w:rsidR="007F6D74">
        <w:rPr>
          <w:sz w:val="22"/>
          <w:szCs w:val="22"/>
          <w:lang w:val="el-GR"/>
        </w:rPr>
        <w:t xml:space="preserve">διαμορφώθηκαν </w:t>
      </w:r>
      <w:r w:rsidR="00CC2249">
        <w:rPr>
          <w:sz w:val="22"/>
          <w:szCs w:val="22"/>
          <w:lang w:val="el-GR"/>
        </w:rPr>
        <w:t>στα 3.</w:t>
      </w:r>
      <w:r w:rsidR="00E57220">
        <w:rPr>
          <w:sz w:val="22"/>
          <w:szCs w:val="22"/>
          <w:lang w:val="el-GR"/>
        </w:rPr>
        <w:t>553</w:t>
      </w:r>
      <w:r w:rsidRPr="006950E4">
        <w:rPr>
          <w:sz w:val="22"/>
          <w:szCs w:val="22"/>
          <w:lang w:val="el-GR"/>
        </w:rPr>
        <w:t xml:space="preserve"> εκατ. ευρώ. </w:t>
      </w:r>
      <w:r w:rsidR="003A3DE4">
        <w:rPr>
          <w:sz w:val="22"/>
          <w:szCs w:val="22"/>
          <w:lang w:val="el-GR"/>
        </w:rPr>
        <w:t>Από το σύνολο των τεχνικών προβλέψεων</w:t>
      </w:r>
      <w:r w:rsidR="003E5746" w:rsidRPr="003E5746">
        <w:rPr>
          <w:sz w:val="22"/>
          <w:szCs w:val="22"/>
          <w:lang w:val="el-GR"/>
        </w:rPr>
        <w:t>,</w:t>
      </w:r>
      <w:r w:rsidR="003A3DE4">
        <w:rPr>
          <w:sz w:val="22"/>
          <w:szCs w:val="22"/>
          <w:lang w:val="el-GR"/>
        </w:rPr>
        <w:t xml:space="preserve"> τ</w:t>
      </w:r>
      <w:r w:rsidRPr="006950E4">
        <w:rPr>
          <w:sz w:val="22"/>
          <w:szCs w:val="22"/>
          <w:lang w:val="el-GR"/>
        </w:rPr>
        <w:t>ο 7</w:t>
      </w:r>
      <w:r w:rsidR="00E57220">
        <w:rPr>
          <w:sz w:val="22"/>
          <w:szCs w:val="22"/>
          <w:lang w:val="el-GR"/>
        </w:rPr>
        <w:t>7,8</w:t>
      </w:r>
      <w:r w:rsidRPr="006950E4">
        <w:rPr>
          <w:sz w:val="22"/>
          <w:szCs w:val="22"/>
          <w:lang w:val="el-GR"/>
        </w:rPr>
        <w:t>% αντιστοιχεί σε τεχνικές προβλέψεις ζωής.</w:t>
      </w:r>
    </w:p>
    <w:p w14:paraId="3FF2BFC5" w14:textId="77777777" w:rsidR="00AA5EBA" w:rsidRPr="00724E80" w:rsidRDefault="00036433" w:rsidP="00724E80">
      <w:pPr>
        <w:spacing w:after="80" w:line="360" w:lineRule="auto"/>
        <w:jc w:val="both"/>
        <w:rPr>
          <w:i/>
          <w:sz w:val="22"/>
          <w:szCs w:val="22"/>
          <w:lang w:val="el-GR"/>
        </w:rPr>
      </w:pPr>
      <w:r w:rsidRPr="000207FB">
        <w:rPr>
          <w:b/>
          <w:sz w:val="22"/>
          <w:szCs w:val="22"/>
          <w:lang w:val="el-GR"/>
        </w:rPr>
        <w:t>Πίνακας 1: Συγκεντρωτική Λογιστική Κατάσταση των Ασφαλιστικών Επιχειρήσεων (υπόλοιπα τέλους περιόδου σε εκατ. ευρώ)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6"/>
        <w:gridCol w:w="1562"/>
        <w:gridCol w:w="1562"/>
      </w:tblGrid>
      <w:tr w:rsidR="00036433" w:rsidRPr="00070BDE" w14:paraId="4D08B17A" w14:textId="77777777" w:rsidTr="00BF7489">
        <w:trPr>
          <w:trHeight w:val="300"/>
        </w:trPr>
        <w:tc>
          <w:tcPr>
            <w:tcW w:w="5606" w:type="dxa"/>
            <w:noWrap/>
            <w:hideMark/>
          </w:tcPr>
          <w:p w14:paraId="5EB3CD58" w14:textId="77777777" w:rsidR="00036433" w:rsidRPr="007F2DA5" w:rsidRDefault="00036433" w:rsidP="007F2DA5">
            <w:pPr>
              <w:rPr>
                <w:i/>
                <w:iCs/>
                <w:sz w:val="22"/>
                <w:lang w:val="el-GR"/>
              </w:rPr>
            </w:pPr>
          </w:p>
        </w:tc>
        <w:tc>
          <w:tcPr>
            <w:tcW w:w="1562" w:type="dxa"/>
            <w:noWrap/>
            <w:vAlign w:val="center"/>
            <w:hideMark/>
          </w:tcPr>
          <w:p w14:paraId="32D98E93" w14:textId="77777777" w:rsidR="00036433" w:rsidRPr="007F2DA5" w:rsidRDefault="00835A34" w:rsidP="007F2DA5">
            <w:pPr>
              <w:jc w:val="center"/>
              <w:rPr>
                <w:i/>
                <w:iCs/>
                <w:sz w:val="22"/>
                <w:lang w:val="en-US"/>
              </w:rPr>
            </w:pPr>
            <w:r>
              <w:rPr>
                <w:i/>
                <w:iCs/>
                <w:sz w:val="22"/>
                <w:lang w:val="el-GR"/>
              </w:rPr>
              <w:t>2025</w:t>
            </w:r>
            <w:r w:rsidR="00BC43F0">
              <w:rPr>
                <w:i/>
                <w:iCs/>
                <w:sz w:val="22"/>
                <w:lang w:val="el-GR"/>
              </w:rPr>
              <w:t xml:space="preserve">           </w:t>
            </w:r>
            <w:r w:rsidR="00AA3B13">
              <w:rPr>
                <w:i/>
                <w:iCs/>
                <w:sz w:val="22"/>
                <w:lang w:val="el-GR"/>
              </w:rPr>
              <w:t>Δ</w:t>
            </w:r>
            <w:r w:rsidR="00323F01" w:rsidRPr="007F2DA5">
              <w:rPr>
                <w:i/>
                <w:iCs/>
                <w:sz w:val="22"/>
                <w:lang w:val="el-GR"/>
              </w:rPr>
              <w:t>΄</w:t>
            </w:r>
            <w:r w:rsidR="00BC43F0">
              <w:rPr>
                <w:i/>
                <w:iCs/>
                <w:sz w:val="22"/>
                <w:lang w:val="el-GR"/>
              </w:rPr>
              <w:t xml:space="preserve"> </w:t>
            </w:r>
            <w:r w:rsidR="00323F01" w:rsidRPr="007F2DA5">
              <w:rPr>
                <w:i/>
                <w:iCs/>
                <w:sz w:val="22"/>
                <w:lang w:val="el-GR"/>
              </w:rPr>
              <w:t>τρίμηνο</w:t>
            </w:r>
          </w:p>
        </w:tc>
        <w:tc>
          <w:tcPr>
            <w:tcW w:w="1562" w:type="dxa"/>
            <w:noWrap/>
            <w:vAlign w:val="center"/>
            <w:hideMark/>
          </w:tcPr>
          <w:p w14:paraId="5F3F5C91" w14:textId="77777777" w:rsidR="00323F01" w:rsidRPr="00500F05" w:rsidRDefault="00AA3B13" w:rsidP="00AA31E7">
            <w:pPr>
              <w:jc w:val="center"/>
              <w:rPr>
                <w:i/>
                <w:iCs/>
                <w:sz w:val="22"/>
                <w:lang w:val="en-US"/>
              </w:rPr>
            </w:pPr>
            <w:r>
              <w:rPr>
                <w:i/>
                <w:iCs/>
                <w:sz w:val="22"/>
                <w:lang w:val="el-GR"/>
              </w:rPr>
              <w:t>2026</w:t>
            </w:r>
          </w:p>
          <w:p w14:paraId="1CCF053D" w14:textId="77777777" w:rsidR="00036433" w:rsidRPr="007F2DA5" w:rsidRDefault="00AA3B13" w:rsidP="00AA31E7">
            <w:pPr>
              <w:jc w:val="center"/>
              <w:rPr>
                <w:i/>
                <w:iCs/>
                <w:sz w:val="22"/>
                <w:lang w:val="el-GR"/>
              </w:rPr>
            </w:pPr>
            <w:r>
              <w:rPr>
                <w:i/>
                <w:iCs/>
                <w:sz w:val="22"/>
                <w:lang w:val="el-GR"/>
              </w:rPr>
              <w:t>Α</w:t>
            </w:r>
            <w:r w:rsidR="00F06222">
              <w:rPr>
                <w:i/>
                <w:iCs/>
                <w:sz w:val="22"/>
                <w:lang w:val="el-GR"/>
              </w:rPr>
              <w:t>΄</w:t>
            </w:r>
            <w:r w:rsidR="0047661B">
              <w:rPr>
                <w:i/>
                <w:iCs/>
                <w:sz w:val="22"/>
                <w:lang w:val="en-US"/>
              </w:rPr>
              <w:t xml:space="preserve"> </w:t>
            </w:r>
            <w:r w:rsidR="00323F01" w:rsidRPr="007F2DA5">
              <w:rPr>
                <w:i/>
                <w:iCs/>
                <w:sz w:val="22"/>
                <w:lang w:val="el-GR"/>
              </w:rPr>
              <w:t xml:space="preserve"> τρίμηνο</w:t>
            </w:r>
          </w:p>
        </w:tc>
      </w:tr>
      <w:tr w:rsidR="00036433" w:rsidRPr="00070BDE" w14:paraId="3C42D650" w14:textId="77777777" w:rsidTr="00C60EA6">
        <w:trPr>
          <w:trHeight w:val="312"/>
        </w:trPr>
        <w:tc>
          <w:tcPr>
            <w:tcW w:w="5606" w:type="dxa"/>
            <w:noWrap/>
            <w:vAlign w:val="center"/>
          </w:tcPr>
          <w:p w14:paraId="618D77A0" w14:textId="77777777" w:rsidR="00036433" w:rsidRPr="00E62248" w:rsidRDefault="00036433" w:rsidP="007F2DA5">
            <w:pPr>
              <w:rPr>
                <w:b/>
                <w:bCs/>
                <w:i/>
                <w:sz w:val="22"/>
                <w:szCs w:val="22"/>
              </w:rPr>
            </w:pPr>
            <w:r w:rsidRPr="00E62248">
              <w:rPr>
                <w:b/>
                <w:bCs/>
                <w:i/>
                <w:sz w:val="22"/>
                <w:szCs w:val="22"/>
              </w:rPr>
              <w:t>ΕΝΕΡΓΗΤΙΚΟ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noWrap/>
            <w:vAlign w:val="center"/>
          </w:tcPr>
          <w:p w14:paraId="0B331AF5" w14:textId="77777777" w:rsidR="00036433" w:rsidRPr="00E62248" w:rsidRDefault="00036433" w:rsidP="007F2DA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noWrap/>
            <w:vAlign w:val="center"/>
          </w:tcPr>
          <w:p w14:paraId="429DD6B6" w14:textId="77777777" w:rsidR="00036433" w:rsidRPr="00D81B14" w:rsidRDefault="00036433" w:rsidP="007F2DA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A3B13" w:rsidRPr="00070BDE" w14:paraId="47462706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6B249EDD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r w:rsidRPr="00E62248">
              <w:rPr>
                <w:b/>
                <w:bCs/>
                <w:sz w:val="22"/>
                <w:szCs w:val="22"/>
              </w:rPr>
              <w:t>Κατα</w:t>
            </w:r>
            <w:proofErr w:type="spellStart"/>
            <w:r w:rsidRPr="00E62248">
              <w:rPr>
                <w:b/>
                <w:bCs/>
                <w:sz w:val="22"/>
                <w:szCs w:val="22"/>
              </w:rPr>
              <w:t>θέσεις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F8263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558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A04C7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560</w:t>
            </w:r>
          </w:p>
        </w:tc>
      </w:tr>
      <w:tr w:rsidR="00AA3B13" w:rsidRPr="00070BDE" w14:paraId="2E8F9E68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6953FE20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8EF82" w14:textId="77777777" w:rsidR="00AA3B13" w:rsidRPr="0056740B" w:rsidRDefault="00AA3B13" w:rsidP="00AA3B13">
            <w:pPr>
              <w:jc w:val="right"/>
            </w:pPr>
            <w:r w:rsidRPr="0056740B">
              <w:t>372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93EEB" w14:textId="77777777" w:rsidR="00AA3B13" w:rsidRPr="0072564A" w:rsidRDefault="00AA3B13" w:rsidP="00AA3B13">
            <w:pPr>
              <w:jc w:val="right"/>
            </w:pPr>
            <w:r w:rsidRPr="0072564A">
              <w:t>382</w:t>
            </w:r>
          </w:p>
        </w:tc>
      </w:tr>
      <w:tr w:rsidR="00AA3B13" w:rsidRPr="00070BDE" w14:paraId="77763F34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56BCB7DF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Εξωτερικό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6D9C7" w14:textId="77777777" w:rsidR="00AA3B13" w:rsidRPr="0056740B" w:rsidRDefault="00AA3B13" w:rsidP="00AA3B13">
            <w:pPr>
              <w:jc w:val="right"/>
            </w:pPr>
            <w:r w:rsidRPr="0056740B">
              <w:t>186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D731F" w14:textId="77777777" w:rsidR="00AA3B13" w:rsidRPr="0072564A" w:rsidRDefault="00AA3B13" w:rsidP="00AA3B13">
            <w:pPr>
              <w:jc w:val="right"/>
            </w:pPr>
            <w:r w:rsidRPr="0072564A">
              <w:t>178</w:t>
            </w:r>
          </w:p>
        </w:tc>
      </w:tr>
      <w:tr w:rsidR="00AA3B13" w:rsidRPr="00070BDE" w14:paraId="79176DC1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0E63B105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r w:rsidRPr="00E62248">
              <w:rPr>
                <w:b/>
                <w:bCs/>
                <w:sz w:val="22"/>
                <w:szCs w:val="22"/>
              </w:rPr>
              <w:t>Χρεωστικοί Τίτλοι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ABB80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10.629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7D731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10.571</w:t>
            </w:r>
          </w:p>
        </w:tc>
      </w:tr>
      <w:tr w:rsidR="00AA3B13" w:rsidRPr="00AC4969" w14:paraId="1463B5B0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12DA8817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A150" w14:textId="77777777" w:rsidR="00AA3B13" w:rsidRPr="0056740B" w:rsidRDefault="00AA3B13" w:rsidP="00AA3B13">
            <w:pPr>
              <w:jc w:val="right"/>
            </w:pPr>
            <w:r w:rsidRPr="0056740B">
              <w:t>2.631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0546C" w14:textId="77777777" w:rsidR="00AA3B13" w:rsidRPr="0072564A" w:rsidRDefault="00AA3B13" w:rsidP="00AA3B13">
            <w:pPr>
              <w:jc w:val="right"/>
            </w:pPr>
            <w:r w:rsidRPr="0072564A">
              <w:t>2.448</w:t>
            </w:r>
          </w:p>
        </w:tc>
      </w:tr>
      <w:tr w:rsidR="00AA3B13" w:rsidRPr="00AC4969" w14:paraId="53116A7B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503DDD8E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i/>
                <w:iCs/>
                <w:sz w:val="22"/>
                <w:szCs w:val="22"/>
                <w:lang w:val="el-GR"/>
              </w:rPr>
              <w:t xml:space="preserve">          Εξωτερικό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96866" w14:textId="77777777" w:rsidR="00AA3B13" w:rsidRPr="0056740B" w:rsidRDefault="00AA3B13" w:rsidP="00AA3B13">
            <w:pPr>
              <w:jc w:val="right"/>
            </w:pPr>
            <w:r w:rsidRPr="0056740B">
              <w:t>7.998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70CC4" w14:textId="77777777" w:rsidR="00AA3B13" w:rsidRPr="0072564A" w:rsidRDefault="00AA3B13" w:rsidP="00AA3B13">
            <w:pPr>
              <w:jc w:val="right"/>
            </w:pPr>
            <w:r w:rsidRPr="0072564A">
              <w:t>8.123</w:t>
            </w:r>
          </w:p>
        </w:tc>
      </w:tr>
      <w:tr w:rsidR="00AA3B13" w:rsidRPr="00AC4969" w14:paraId="7EA89016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5E2EE220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 xml:space="preserve">Μερίδια αμοιβαίων κεφαλαίων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5BF9D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7.373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4C9A5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7.315</w:t>
            </w:r>
          </w:p>
        </w:tc>
      </w:tr>
      <w:tr w:rsidR="00AA3B13" w:rsidRPr="00AC4969" w14:paraId="761CBEF4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23AC9155" w14:textId="77777777" w:rsidR="00AA3B13" w:rsidRPr="00E62248" w:rsidRDefault="00AA3B13" w:rsidP="00AA3B13">
            <w:pPr>
              <w:tabs>
                <w:tab w:val="left" w:pos="4255"/>
              </w:tabs>
              <w:rPr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i/>
                <w:iCs/>
                <w:sz w:val="22"/>
                <w:szCs w:val="22"/>
                <w:lang w:val="el-GR"/>
              </w:rPr>
              <w:t xml:space="preserve">          Εσωτερικό</w:t>
            </w:r>
            <w:r w:rsidRPr="00E62248">
              <w:rPr>
                <w:i/>
                <w:iCs/>
                <w:sz w:val="22"/>
                <w:szCs w:val="22"/>
                <w:lang w:val="el-GR"/>
              </w:rPr>
              <w:tab/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2EBD" w14:textId="77777777" w:rsidR="00AA3B13" w:rsidRPr="0056740B" w:rsidRDefault="00AA3B13" w:rsidP="00AA3B13">
            <w:pPr>
              <w:jc w:val="right"/>
            </w:pPr>
            <w:r w:rsidRPr="0056740B">
              <w:t>2.312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DDFBA" w14:textId="77777777" w:rsidR="00AA3B13" w:rsidRPr="0072564A" w:rsidRDefault="00AA3B13" w:rsidP="00AA3B13">
            <w:pPr>
              <w:jc w:val="right"/>
            </w:pPr>
            <w:r w:rsidRPr="0072564A">
              <w:t>2.365</w:t>
            </w:r>
          </w:p>
        </w:tc>
      </w:tr>
      <w:tr w:rsidR="00AA3B13" w:rsidRPr="00070BDE" w14:paraId="1894F9F8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47D6956B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  <w:lang w:val="el-GR"/>
              </w:rPr>
              <w:t xml:space="preserve">          </w:t>
            </w:r>
            <w:r w:rsidRPr="00E62248">
              <w:rPr>
                <w:i/>
                <w:iCs/>
                <w:sz w:val="22"/>
                <w:szCs w:val="22"/>
              </w:rPr>
              <w:t>Εξωτερικό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F109A" w14:textId="77777777" w:rsidR="00AA3B13" w:rsidRPr="0056740B" w:rsidRDefault="00AA3B13" w:rsidP="00AA3B13">
            <w:pPr>
              <w:jc w:val="right"/>
            </w:pPr>
            <w:r w:rsidRPr="0056740B">
              <w:t>5.061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988C" w14:textId="77777777" w:rsidR="00AA3B13" w:rsidRPr="0072564A" w:rsidRDefault="00AA3B13" w:rsidP="00AA3B13">
            <w:pPr>
              <w:jc w:val="right"/>
            </w:pPr>
            <w:r w:rsidRPr="0072564A">
              <w:t>4.950</w:t>
            </w:r>
          </w:p>
        </w:tc>
      </w:tr>
      <w:tr w:rsidR="00AA3B13" w:rsidRPr="00070BDE" w14:paraId="68ED5FBC" w14:textId="77777777" w:rsidTr="00C60EA6">
        <w:trPr>
          <w:trHeight w:val="23"/>
        </w:trPr>
        <w:tc>
          <w:tcPr>
            <w:tcW w:w="5606" w:type="dxa"/>
            <w:hideMark/>
          </w:tcPr>
          <w:p w14:paraId="26466108" w14:textId="77777777" w:rsidR="00AA3B13" w:rsidRPr="00164650" w:rsidRDefault="00AA3B13" w:rsidP="00AA3B13">
            <w:pPr>
              <w:rPr>
                <w:b/>
                <w:bCs/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>Μετοχές και λοιπά μέσα κυριότητας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543C0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1.034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50067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996</w:t>
            </w:r>
          </w:p>
        </w:tc>
      </w:tr>
      <w:tr w:rsidR="00AA3B13" w:rsidRPr="00070BDE" w14:paraId="0045EE27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757E93D9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AE2E5" w14:textId="77777777" w:rsidR="00AA3B13" w:rsidRPr="0056740B" w:rsidRDefault="00AA3B13" w:rsidP="00AA3B13">
            <w:pPr>
              <w:jc w:val="right"/>
            </w:pPr>
            <w:r w:rsidRPr="0056740B">
              <w:t>497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36CC" w14:textId="77777777" w:rsidR="00AA3B13" w:rsidRPr="0072564A" w:rsidRDefault="00AA3B13" w:rsidP="00AA3B13">
            <w:pPr>
              <w:jc w:val="right"/>
            </w:pPr>
            <w:r w:rsidRPr="0072564A">
              <w:t>495</w:t>
            </w:r>
          </w:p>
        </w:tc>
      </w:tr>
      <w:tr w:rsidR="00AA3B13" w:rsidRPr="00070BDE" w14:paraId="6E724468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15CE10EF" w14:textId="77777777" w:rsidR="00AA3B13" w:rsidRPr="00E62248" w:rsidRDefault="00AA3B13" w:rsidP="00AA3B13">
            <w:pPr>
              <w:rPr>
                <w:i/>
                <w:iCs/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Εξωτερικό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4E3C" w14:textId="77777777" w:rsidR="00AA3B13" w:rsidRPr="0056740B" w:rsidRDefault="00AA3B13" w:rsidP="00AA3B13">
            <w:pPr>
              <w:jc w:val="right"/>
            </w:pPr>
            <w:r w:rsidRPr="0056740B">
              <w:t>537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2187C" w14:textId="77777777" w:rsidR="00AA3B13" w:rsidRPr="0072564A" w:rsidRDefault="00AA3B13" w:rsidP="00AA3B13">
            <w:pPr>
              <w:jc w:val="right"/>
            </w:pPr>
            <w:r w:rsidRPr="0072564A">
              <w:t>501</w:t>
            </w:r>
          </w:p>
        </w:tc>
      </w:tr>
      <w:tr w:rsidR="00AA3B13" w:rsidRPr="00070BDE" w14:paraId="0296DA8F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30B7312F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62248">
              <w:rPr>
                <w:b/>
                <w:bCs/>
                <w:sz w:val="22"/>
                <w:szCs w:val="22"/>
              </w:rPr>
              <w:t>Πάγι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>α στοιχεία (αναπ</w:t>
            </w:r>
            <w:proofErr w:type="spellStart"/>
            <w:r w:rsidRPr="00E62248">
              <w:rPr>
                <w:b/>
                <w:bCs/>
                <w:sz w:val="22"/>
                <w:szCs w:val="22"/>
              </w:rPr>
              <w:t>όσ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>βεστο υπόλοιπο)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6A506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5C5EC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771</w:t>
            </w:r>
          </w:p>
        </w:tc>
      </w:tr>
      <w:tr w:rsidR="00AA3B13" w:rsidRPr="00070BDE" w14:paraId="498CC4A3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704B621C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r w:rsidRPr="00E62248">
              <w:rPr>
                <w:b/>
                <w:bCs/>
                <w:sz w:val="22"/>
                <w:szCs w:val="22"/>
              </w:rPr>
              <w:t>Χρηματοοικονομικά Παράγωγα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B4ED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B01A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0</w:t>
            </w:r>
          </w:p>
        </w:tc>
      </w:tr>
      <w:tr w:rsidR="00AA3B13" w:rsidRPr="00070BDE" w14:paraId="0D658C8A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38609056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62248">
              <w:rPr>
                <w:b/>
                <w:bCs/>
                <w:sz w:val="22"/>
                <w:szCs w:val="22"/>
              </w:rPr>
              <w:t>Δάνει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DF507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213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DF9D1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204</w:t>
            </w:r>
          </w:p>
        </w:tc>
      </w:tr>
      <w:tr w:rsidR="00AA3B13" w:rsidRPr="00070BDE" w14:paraId="50D84515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0BCD33CC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62248">
              <w:rPr>
                <w:b/>
                <w:bCs/>
                <w:sz w:val="22"/>
                <w:szCs w:val="22"/>
              </w:rPr>
              <w:t>Αντ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>ασφαλιστές/Αντασφαλιζόμενοι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8CC49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1E8AF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708</w:t>
            </w:r>
          </w:p>
        </w:tc>
      </w:tr>
      <w:tr w:rsidR="00AA3B13" w:rsidRPr="00070BDE" w14:paraId="08C3E26E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13DF29B9" w14:textId="77777777" w:rsidR="00AA3B13" w:rsidRPr="00E62248" w:rsidRDefault="00AA3B13" w:rsidP="00AA3B13">
            <w:pPr>
              <w:rPr>
                <w:b/>
                <w:bCs/>
                <w:sz w:val="22"/>
                <w:szCs w:val="22"/>
              </w:rPr>
            </w:pPr>
            <w:r w:rsidRPr="00E62248">
              <w:rPr>
                <w:b/>
                <w:bCs/>
                <w:sz w:val="22"/>
                <w:szCs w:val="22"/>
              </w:rPr>
              <w:t>Λοιπά στοιχεία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51AE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761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783E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822</w:t>
            </w:r>
          </w:p>
        </w:tc>
      </w:tr>
      <w:tr w:rsidR="00AA3B13" w:rsidRPr="00070BDE" w14:paraId="25823147" w14:textId="77777777" w:rsidTr="00C60EA6">
        <w:trPr>
          <w:trHeight w:val="23"/>
        </w:trPr>
        <w:tc>
          <w:tcPr>
            <w:tcW w:w="5606" w:type="dxa"/>
            <w:noWrap/>
            <w:hideMark/>
          </w:tcPr>
          <w:p w14:paraId="5DD24BD5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62248">
              <w:rPr>
                <w:b/>
                <w:bCs/>
                <w:i/>
                <w:iCs/>
                <w:sz w:val="22"/>
                <w:szCs w:val="22"/>
              </w:rPr>
              <w:t>Σύνολο Ενεργητικού / Παθητικού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41B38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22.066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2251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21.947</w:t>
            </w:r>
          </w:p>
        </w:tc>
      </w:tr>
      <w:tr w:rsidR="00835A34" w:rsidRPr="00070BDE" w14:paraId="7ACF6121" w14:textId="77777777" w:rsidTr="00C60EA6">
        <w:trPr>
          <w:trHeight w:val="340"/>
        </w:trPr>
        <w:tc>
          <w:tcPr>
            <w:tcW w:w="5606" w:type="dxa"/>
            <w:noWrap/>
            <w:vAlign w:val="center"/>
          </w:tcPr>
          <w:p w14:paraId="0EA93EF2" w14:textId="77777777" w:rsidR="00835A34" w:rsidRPr="00E62248" w:rsidRDefault="00835A34" w:rsidP="00835A3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62248">
              <w:rPr>
                <w:b/>
                <w:bCs/>
                <w:i/>
                <w:iCs/>
                <w:sz w:val="22"/>
                <w:szCs w:val="22"/>
              </w:rPr>
              <w:t>ΠΑΘΗΤΙΚΟ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E08EB4" w14:textId="77777777" w:rsidR="00835A34" w:rsidRPr="00AA31E7" w:rsidRDefault="00835A34" w:rsidP="00835A34">
            <w:pPr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CF391F" w14:textId="77777777" w:rsidR="00835A34" w:rsidRPr="00AA31E7" w:rsidRDefault="00835A34" w:rsidP="00835A34">
            <w:pPr>
              <w:jc w:val="right"/>
              <w:rPr>
                <w:szCs w:val="24"/>
              </w:rPr>
            </w:pPr>
          </w:p>
        </w:tc>
      </w:tr>
      <w:tr w:rsidR="00AA3B13" w:rsidRPr="00AC4969" w14:paraId="3F946015" w14:textId="77777777" w:rsidTr="00C60EA6">
        <w:trPr>
          <w:trHeight w:val="23"/>
        </w:trPr>
        <w:tc>
          <w:tcPr>
            <w:tcW w:w="5606" w:type="dxa"/>
            <w:noWrap/>
          </w:tcPr>
          <w:p w14:paraId="00CE2D66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2248">
              <w:rPr>
                <w:b/>
                <w:bCs/>
                <w:sz w:val="22"/>
                <w:szCs w:val="22"/>
              </w:rPr>
              <w:t>Ίδι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>α</w:t>
            </w:r>
            <w:r w:rsidRPr="00E6224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2248">
              <w:rPr>
                <w:b/>
                <w:bCs/>
                <w:sz w:val="22"/>
                <w:szCs w:val="22"/>
              </w:rPr>
              <w:t>Κεφάλ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 xml:space="preserve">αια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03FA8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3.897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6B9D9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3.894</w:t>
            </w:r>
          </w:p>
        </w:tc>
      </w:tr>
      <w:tr w:rsidR="00AA3B13" w:rsidRPr="00AC4969" w14:paraId="3614671B" w14:textId="77777777" w:rsidTr="00C60EA6">
        <w:trPr>
          <w:trHeight w:val="23"/>
        </w:trPr>
        <w:tc>
          <w:tcPr>
            <w:tcW w:w="5606" w:type="dxa"/>
            <w:noWrap/>
          </w:tcPr>
          <w:p w14:paraId="3A36D134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>Ασφαλιστικές προβλέψεις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94E0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16.056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03F2D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15.992</w:t>
            </w:r>
          </w:p>
        </w:tc>
      </w:tr>
      <w:tr w:rsidR="00AA3B13" w:rsidRPr="00AC4969" w14:paraId="123BB9FF" w14:textId="77777777" w:rsidTr="00C60EA6">
        <w:trPr>
          <w:trHeight w:val="23"/>
        </w:trPr>
        <w:tc>
          <w:tcPr>
            <w:tcW w:w="5606" w:type="dxa"/>
            <w:noWrap/>
          </w:tcPr>
          <w:p w14:paraId="47C454C5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sz w:val="22"/>
                <w:szCs w:val="22"/>
                <w:lang w:val="el-GR"/>
              </w:rPr>
              <w:t xml:space="preserve">  Ασφαλιστικές Τεχνικές Προβλέψεις Ζωής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4DADD" w14:textId="77777777" w:rsidR="00AA3B13" w:rsidRDefault="00AA3B13" w:rsidP="00AA3B13">
            <w:pPr>
              <w:jc w:val="right"/>
            </w:pPr>
            <w:r w:rsidRPr="00632952">
              <w:t>12.529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D2D32" w14:textId="77777777" w:rsidR="00AA3B13" w:rsidRDefault="00AA3B13" w:rsidP="00AA3B13">
            <w:pPr>
              <w:jc w:val="right"/>
            </w:pPr>
            <w:r w:rsidRPr="006D70EC">
              <w:t>12.439</w:t>
            </w:r>
          </w:p>
        </w:tc>
      </w:tr>
      <w:tr w:rsidR="00AA3B13" w:rsidRPr="00AC4969" w14:paraId="5B4C2BCB" w14:textId="77777777" w:rsidTr="00C60EA6">
        <w:trPr>
          <w:trHeight w:val="23"/>
        </w:trPr>
        <w:tc>
          <w:tcPr>
            <w:tcW w:w="5606" w:type="dxa"/>
            <w:noWrap/>
          </w:tcPr>
          <w:p w14:paraId="185B3585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sz w:val="22"/>
                <w:szCs w:val="22"/>
                <w:lang w:val="el-GR"/>
              </w:rPr>
              <w:t xml:space="preserve">  Ασφαλιστικές Τεχνικές Προβλέψεις Ζημιών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E689" w14:textId="77777777" w:rsidR="00AA3B13" w:rsidRPr="005049BF" w:rsidRDefault="00AA3B13" w:rsidP="00AA3B13">
            <w:pPr>
              <w:jc w:val="right"/>
            </w:pPr>
            <w:r w:rsidRPr="005049BF">
              <w:t>3.527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910F3" w14:textId="77777777" w:rsidR="00AA3B13" w:rsidRPr="00EF02DB" w:rsidRDefault="00AA3B13" w:rsidP="00AA3B13">
            <w:pPr>
              <w:jc w:val="right"/>
            </w:pPr>
            <w:r w:rsidRPr="00EF02DB">
              <w:t>3.553</w:t>
            </w:r>
          </w:p>
        </w:tc>
      </w:tr>
      <w:tr w:rsidR="00AA3B13" w:rsidRPr="00AC4969" w14:paraId="56D2A5CB" w14:textId="77777777" w:rsidTr="00C60EA6">
        <w:trPr>
          <w:trHeight w:val="23"/>
        </w:trPr>
        <w:tc>
          <w:tcPr>
            <w:tcW w:w="5606" w:type="dxa"/>
            <w:noWrap/>
          </w:tcPr>
          <w:p w14:paraId="1438EBB5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>Δάνεια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33E0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485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E1043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469</w:t>
            </w:r>
          </w:p>
        </w:tc>
      </w:tr>
      <w:tr w:rsidR="00AA3B13" w:rsidRPr="00AC4969" w14:paraId="3CF66368" w14:textId="77777777" w:rsidTr="00C60EA6">
        <w:trPr>
          <w:trHeight w:val="23"/>
        </w:trPr>
        <w:tc>
          <w:tcPr>
            <w:tcW w:w="5606" w:type="dxa"/>
            <w:noWrap/>
          </w:tcPr>
          <w:p w14:paraId="6A2F3336" w14:textId="77777777" w:rsidR="00AA3B13" w:rsidRPr="00E62248" w:rsidRDefault="00AA3B13" w:rsidP="00AA3B13">
            <w:pPr>
              <w:rPr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>Λοιπά στοιχεία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C8FFC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1.628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8991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1.591</w:t>
            </w:r>
          </w:p>
        </w:tc>
      </w:tr>
    </w:tbl>
    <w:p w14:paraId="53505D8E" w14:textId="77777777" w:rsidR="00EE0810" w:rsidRDefault="00EE0810" w:rsidP="00036433">
      <w:pPr>
        <w:jc w:val="both"/>
        <w:rPr>
          <w:b/>
          <w:sz w:val="22"/>
          <w:szCs w:val="22"/>
          <w:lang w:val="el-GR"/>
        </w:rPr>
      </w:pPr>
    </w:p>
    <w:p w14:paraId="4D21E315" w14:textId="77777777" w:rsidR="00735C72" w:rsidRDefault="00735C72" w:rsidP="003B10B9">
      <w:pPr>
        <w:keepNext/>
        <w:widowControl w:val="0"/>
        <w:jc w:val="both"/>
        <w:rPr>
          <w:b/>
          <w:sz w:val="22"/>
          <w:szCs w:val="22"/>
          <w:lang w:val="el-GR"/>
        </w:rPr>
      </w:pPr>
    </w:p>
    <w:p w14:paraId="281175F2" w14:textId="77777777" w:rsidR="00036433" w:rsidRPr="00735C72" w:rsidRDefault="00036433" w:rsidP="003B10B9">
      <w:pPr>
        <w:keepNext/>
        <w:widowControl w:val="0"/>
        <w:jc w:val="both"/>
        <w:rPr>
          <w:b/>
          <w:sz w:val="22"/>
          <w:szCs w:val="22"/>
          <w:lang w:val="el-GR"/>
        </w:rPr>
      </w:pPr>
      <w:r w:rsidRPr="006950E4">
        <w:rPr>
          <w:b/>
          <w:sz w:val="22"/>
          <w:szCs w:val="22"/>
          <w:lang w:val="el-GR"/>
        </w:rPr>
        <w:t>Πίνακας 2: Καθαρές ροές</w:t>
      </w:r>
      <w:r w:rsidR="00386254" w:rsidRPr="006E2C34">
        <w:rPr>
          <w:b/>
          <w:sz w:val="22"/>
          <w:szCs w:val="22"/>
          <w:lang w:val="el-GR"/>
        </w:rPr>
        <w:t xml:space="preserve"> </w:t>
      </w:r>
      <w:r w:rsidRPr="006950E4">
        <w:rPr>
          <w:b/>
          <w:sz w:val="22"/>
          <w:szCs w:val="22"/>
          <w:lang w:val="el-GR"/>
        </w:rPr>
        <w:t>τοποθετήσεων των Ασφαλιστικών Επιχειρήσεων</w:t>
      </w:r>
    </w:p>
    <w:p w14:paraId="40E68C2C" w14:textId="77777777" w:rsidR="00036433" w:rsidRDefault="00036433" w:rsidP="003B10B9">
      <w:pPr>
        <w:keepNext/>
        <w:widowControl w:val="0"/>
        <w:jc w:val="both"/>
        <w:rPr>
          <w:b/>
          <w:sz w:val="22"/>
          <w:szCs w:val="22"/>
        </w:rPr>
      </w:pPr>
      <w:r w:rsidRPr="006950E4">
        <w:rPr>
          <w:b/>
          <w:sz w:val="22"/>
          <w:szCs w:val="22"/>
        </w:rPr>
        <w:t>(</w:t>
      </w:r>
      <w:proofErr w:type="spellStart"/>
      <w:r w:rsidRPr="006950E4">
        <w:rPr>
          <w:b/>
          <w:sz w:val="22"/>
          <w:szCs w:val="22"/>
        </w:rPr>
        <w:t>σε</w:t>
      </w:r>
      <w:proofErr w:type="spellEnd"/>
      <w:r w:rsidRPr="006950E4">
        <w:rPr>
          <w:b/>
          <w:sz w:val="22"/>
          <w:szCs w:val="22"/>
        </w:rPr>
        <w:t xml:space="preserve"> </w:t>
      </w:r>
      <w:proofErr w:type="spellStart"/>
      <w:r w:rsidRPr="006950E4">
        <w:rPr>
          <w:b/>
          <w:sz w:val="22"/>
          <w:szCs w:val="22"/>
        </w:rPr>
        <w:t>εκ</w:t>
      </w:r>
      <w:proofErr w:type="spellEnd"/>
      <w:r w:rsidRPr="006950E4">
        <w:rPr>
          <w:b/>
          <w:sz w:val="22"/>
          <w:szCs w:val="22"/>
        </w:rPr>
        <w:t>ατ. ευρώ)</w:t>
      </w:r>
    </w:p>
    <w:p w14:paraId="679C43DB" w14:textId="77777777" w:rsidR="00036433" w:rsidRPr="006950E4" w:rsidRDefault="00036433" w:rsidP="003B10B9">
      <w:pPr>
        <w:keepNext/>
        <w:widowControl w:val="0"/>
        <w:jc w:val="both"/>
        <w:rPr>
          <w:b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17"/>
      </w:tblGrid>
      <w:tr w:rsidR="007D183C" w:rsidRPr="00070BDE" w14:paraId="6D8312A8" w14:textId="77777777" w:rsidTr="00C60EA6">
        <w:tc>
          <w:tcPr>
            <w:tcW w:w="5778" w:type="dxa"/>
          </w:tcPr>
          <w:p w14:paraId="70E41A86" w14:textId="77777777" w:rsidR="007D183C" w:rsidRPr="007F2DA5" w:rsidRDefault="007D183C" w:rsidP="003B10B9">
            <w:pPr>
              <w:keepNext/>
              <w:widowControl w:val="0"/>
              <w:jc w:val="both"/>
              <w:rPr>
                <w:i/>
                <w:sz w:val="22"/>
              </w:rPr>
            </w:pPr>
            <w:proofErr w:type="spellStart"/>
            <w:r w:rsidRPr="007F2DA5">
              <w:rPr>
                <w:i/>
                <w:sz w:val="22"/>
              </w:rPr>
              <w:t>Το</w:t>
            </w:r>
            <w:proofErr w:type="spellEnd"/>
            <w:r w:rsidRPr="007F2DA5">
              <w:rPr>
                <w:i/>
                <w:sz w:val="22"/>
              </w:rPr>
              <w:t>ποθετήσεις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DA6B15" w14:textId="77777777" w:rsidR="007D183C" w:rsidRPr="00FF0E56" w:rsidRDefault="00AA3B13" w:rsidP="003B10B9">
            <w:pPr>
              <w:keepNext/>
              <w:widowControl w:val="0"/>
              <w:jc w:val="center"/>
              <w:rPr>
                <w:i/>
                <w:iCs/>
                <w:sz w:val="22"/>
                <w:lang w:val="el-GR"/>
              </w:rPr>
            </w:pPr>
            <w:r>
              <w:rPr>
                <w:i/>
                <w:iCs/>
                <w:sz w:val="22"/>
                <w:lang w:val="el-GR"/>
              </w:rPr>
              <w:t>2025           Δ</w:t>
            </w:r>
            <w:r w:rsidR="004842B7" w:rsidRPr="004842B7">
              <w:rPr>
                <w:i/>
                <w:iCs/>
                <w:sz w:val="22"/>
                <w:lang w:val="el-GR"/>
              </w:rPr>
              <w:t>΄ τρίμηνο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4AEDC1" w14:textId="77777777" w:rsidR="004842B7" w:rsidRPr="004842B7" w:rsidRDefault="00AA3B13" w:rsidP="004842B7">
            <w:pPr>
              <w:keepNext/>
              <w:widowControl w:val="0"/>
              <w:jc w:val="center"/>
              <w:rPr>
                <w:i/>
                <w:iCs/>
                <w:sz w:val="22"/>
                <w:lang w:val="el-GR"/>
              </w:rPr>
            </w:pPr>
            <w:r>
              <w:rPr>
                <w:i/>
                <w:iCs/>
                <w:sz w:val="22"/>
                <w:lang w:val="el-GR"/>
              </w:rPr>
              <w:t>2026</w:t>
            </w:r>
          </w:p>
          <w:p w14:paraId="148FD8F6" w14:textId="77777777" w:rsidR="007D183C" w:rsidRPr="007F2DA5" w:rsidRDefault="00AA3B13" w:rsidP="004842B7">
            <w:pPr>
              <w:keepNext/>
              <w:widowControl w:val="0"/>
              <w:jc w:val="center"/>
              <w:rPr>
                <w:i/>
                <w:iCs/>
                <w:sz w:val="22"/>
                <w:lang w:val="el-GR"/>
              </w:rPr>
            </w:pPr>
            <w:r>
              <w:rPr>
                <w:i/>
                <w:iCs/>
                <w:sz w:val="22"/>
                <w:lang w:val="el-GR"/>
              </w:rPr>
              <w:t>Α</w:t>
            </w:r>
            <w:r w:rsidR="004842B7" w:rsidRPr="004842B7">
              <w:rPr>
                <w:i/>
                <w:iCs/>
                <w:sz w:val="22"/>
                <w:lang w:val="el-GR"/>
              </w:rPr>
              <w:t>΄</w:t>
            </w:r>
            <w:r w:rsidR="004842B7" w:rsidRPr="004842B7">
              <w:rPr>
                <w:i/>
                <w:iCs/>
                <w:sz w:val="22"/>
                <w:lang w:val="en-US"/>
              </w:rPr>
              <w:t xml:space="preserve"> </w:t>
            </w:r>
            <w:r w:rsidR="004842B7" w:rsidRPr="004842B7">
              <w:rPr>
                <w:i/>
                <w:iCs/>
                <w:sz w:val="22"/>
                <w:lang w:val="el-GR"/>
              </w:rPr>
              <w:t xml:space="preserve"> τρίμηνο</w:t>
            </w:r>
          </w:p>
        </w:tc>
      </w:tr>
      <w:tr w:rsidR="00AA3B13" w:rsidRPr="00070BDE" w14:paraId="5A720E45" w14:textId="77777777" w:rsidTr="00C60EA6">
        <w:trPr>
          <w:trHeight w:val="279"/>
        </w:trPr>
        <w:tc>
          <w:tcPr>
            <w:tcW w:w="5778" w:type="dxa"/>
            <w:vAlign w:val="center"/>
          </w:tcPr>
          <w:p w14:paraId="586FA733" w14:textId="77777777" w:rsidR="00AA3B13" w:rsidRPr="00E62248" w:rsidRDefault="00AA3B13" w:rsidP="00AA3B13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62248">
              <w:rPr>
                <w:b/>
                <w:bCs/>
                <w:sz w:val="22"/>
                <w:szCs w:val="22"/>
              </w:rPr>
              <w:t>Χρεωστικοί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62248">
              <w:rPr>
                <w:b/>
                <w:bCs/>
                <w:sz w:val="22"/>
                <w:szCs w:val="22"/>
              </w:rPr>
              <w:t>Τίτλοι</w:t>
            </w:r>
            <w:proofErr w:type="spellEnd"/>
            <w:r w:rsidRPr="00E6224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E2638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-59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240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38</w:t>
            </w:r>
          </w:p>
        </w:tc>
      </w:tr>
      <w:tr w:rsidR="00AA3B13" w:rsidRPr="00070BDE" w14:paraId="0DEC3C25" w14:textId="77777777" w:rsidTr="00C60EA6">
        <w:tc>
          <w:tcPr>
            <w:tcW w:w="5778" w:type="dxa"/>
            <w:vAlign w:val="center"/>
          </w:tcPr>
          <w:p w14:paraId="649A51FE" w14:textId="77777777" w:rsidR="00AA3B13" w:rsidRPr="00E62248" w:rsidRDefault="00AA3B13" w:rsidP="00AA3B13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70D1" w14:textId="77777777" w:rsidR="00AA3B13" w:rsidRPr="00F46683" w:rsidRDefault="00AA3B13" w:rsidP="00AA3B13">
            <w:pPr>
              <w:jc w:val="right"/>
            </w:pPr>
            <w:r w:rsidRPr="00F46683">
              <w:t>-69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8D9" w14:textId="77777777" w:rsidR="00AA3B13" w:rsidRPr="00F74530" w:rsidRDefault="00AA3B13" w:rsidP="00AA3B13">
            <w:pPr>
              <w:jc w:val="right"/>
            </w:pPr>
            <w:r w:rsidRPr="00F74530">
              <w:t>-148</w:t>
            </w:r>
          </w:p>
        </w:tc>
      </w:tr>
      <w:tr w:rsidR="00AA3B13" w:rsidRPr="00070BDE" w14:paraId="37898F0F" w14:textId="77777777" w:rsidTr="00C60EA6">
        <w:tc>
          <w:tcPr>
            <w:tcW w:w="5778" w:type="dxa"/>
            <w:vAlign w:val="center"/>
          </w:tcPr>
          <w:p w14:paraId="3ACC0CB7" w14:textId="77777777" w:rsidR="00AA3B13" w:rsidRPr="00E62248" w:rsidRDefault="00AA3B13" w:rsidP="00AA3B13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Εξωτερικό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0A7F0" w14:textId="77777777" w:rsidR="00AA3B13" w:rsidRPr="00F46683" w:rsidRDefault="00AA3B13" w:rsidP="00AA3B13">
            <w:pPr>
              <w:jc w:val="right"/>
            </w:pPr>
            <w:r w:rsidRPr="00F46683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BC3" w14:textId="77777777" w:rsidR="00AA3B13" w:rsidRPr="00F74530" w:rsidRDefault="00AA3B13" w:rsidP="00AA3B13">
            <w:pPr>
              <w:jc w:val="right"/>
            </w:pPr>
            <w:r w:rsidRPr="00F74530">
              <w:t>186</w:t>
            </w:r>
          </w:p>
        </w:tc>
      </w:tr>
      <w:tr w:rsidR="00AA3B13" w:rsidRPr="00070BDE" w14:paraId="4603CDD6" w14:textId="77777777" w:rsidTr="00C60EA6">
        <w:tc>
          <w:tcPr>
            <w:tcW w:w="5778" w:type="dxa"/>
            <w:vAlign w:val="center"/>
          </w:tcPr>
          <w:p w14:paraId="3341F669" w14:textId="77777777" w:rsidR="00AA3B13" w:rsidRPr="00E62248" w:rsidRDefault="00AA3B13" w:rsidP="00AA3B13">
            <w:pPr>
              <w:jc w:val="both"/>
              <w:rPr>
                <w:sz w:val="22"/>
                <w:szCs w:val="22"/>
              </w:rPr>
            </w:pPr>
            <w:r w:rsidRPr="00E62248">
              <w:rPr>
                <w:b/>
                <w:bCs/>
                <w:sz w:val="22"/>
                <w:szCs w:val="22"/>
              </w:rPr>
              <w:t xml:space="preserve">Μερίδια αμοιβαίων κεφαλαίων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6EA52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CE7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6</w:t>
            </w:r>
            <w:r w:rsidR="00F5037F">
              <w:rPr>
                <w:b/>
              </w:rPr>
              <w:t>1</w:t>
            </w:r>
          </w:p>
        </w:tc>
      </w:tr>
      <w:tr w:rsidR="00AA3B13" w:rsidRPr="00070BDE" w14:paraId="5144C7EE" w14:textId="77777777" w:rsidTr="00C60EA6">
        <w:tc>
          <w:tcPr>
            <w:tcW w:w="5778" w:type="dxa"/>
            <w:vAlign w:val="center"/>
          </w:tcPr>
          <w:p w14:paraId="1AFC755E" w14:textId="77777777" w:rsidR="00AA3B13" w:rsidRPr="00E62248" w:rsidRDefault="00AA3B13" w:rsidP="00AA3B13">
            <w:pPr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F5CD4" w14:textId="77777777" w:rsidR="00AA3B13" w:rsidRPr="00F46683" w:rsidRDefault="00AA3B13" w:rsidP="00AA3B13">
            <w:pPr>
              <w:jc w:val="right"/>
            </w:pPr>
            <w:r w:rsidRPr="00F46683"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E5F" w14:textId="77777777" w:rsidR="00AA3B13" w:rsidRPr="00F74530" w:rsidRDefault="00AA3B13" w:rsidP="00AA3B13">
            <w:pPr>
              <w:jc w:val="right"/>
            </w:pPr>
            <w:r w:rsidRPr="00F74530">
              <w:t>90</w:t>
            </w:r>
          </w:p>
        </w:tc>
      </w:tr>
      <w:tr w:rsidR="00AA3B13" w:rsidRPr="00070BDE" w14:paraId="48E5B767" w14:textId="77777777" w:rsidTr="00C60EA6">
        <w:tc>
          <w:tcPr>
            <w:tcW w:w="5778" w:type="dxa"/>
            <w:vAlign w:val="center"/>
          </w:tcPr>
          <w:p w14:paraId="56B6D1FF" w14:textId="77777777" w:rsidR="00AA3B13" w:rsidRPr="00E62248" w:rsidRDefault="00AA3B13" w:rsidP="00AA3B13">
            <w:pPr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Εξωτερικό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309FD" w14:textId="77777777" w:rsidR="00AA3B13" w:rsidRPr="00F46683" w:rsidRDefault="00AA3B13" w:rsidP="00AA3B13">
            <w:pPr>
              <w:jc w:val="right"/>
            </w:pPr>
            <w:r w:rsidRPr="00F46683"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0D66" w14:textId="77777777" w:rsidR="00AA3B13" w:rsidRPr="00F74530" w:rsidRDefault="00F5037F" w:rsidP="00AA3B13">
            <w:pPr>
              <w:jc w:val="right"/>
            </w:pPr>
            <w:r>
              <w:t>-29</w:t>
            </w:r>
          </w:p>
        </w:tc>
      </w:tr>
      <w:tr w:rsidR="00AA3B13" w:rsidRPr="00070BDE" w14:paraId="6A9C42F4" w14:textId="77777777" w:rsidTr="00C60EA6">
        <w:tc>
          <w:tcPr>
            <w:tcW w:w="5778" w:type="dxa"/>
            <w:vAlign w:val="center"/>
          </w:tcPr>
          <w:p w14:paraId="2FB9D0D9" w14:textId="77777777" w:rsidR="00AA3B13" w:rsidRPr="00E62248" w:rsidRDefault="00AA3B13" w:rsidP="00AA3B13">
            <w:pPr>
              <w:jc w:val="both"/>
              <w:rPr>
                <w:sz w:val="22"/>
                <w:szCs w:val="22"/>
                <w:lang w:val="el-GR"/>
              </w:rPr>
            </w:pPr>
            <w:r w:rsidRPr="00E62248">
              <w:rPr>
                <w:b/>
                <w:bCs/>
                <w:sz w:val="22"/>
                <w:szCs w:val="22"/>
                <w:lang w:val="el-GR"/>
              </w:rPr>
              <w:t>Μετοχές και λοιπά μέσα κυριότητας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D3ED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C54" w14:textId="77777777" w:rsidR="00AA3B13" w:rsidRPr="00AA3B13" w:rsidRDefault="00AA3B13" w:rsidP="00AA3B13">
            <w:pPr>
              <w:jc w:val="right"/>
              <w:rPr>
                <w:b/>
              </w:rPr>
            </w:pPr>
            <w:r w:rsidRPr="00AA3B13">
              <w:rPr>
                <w:b/>
              </w:rPr>
              <w:t>-7</w:t>
            </w:r>
          </w:p>
        </w:tc>
      </w:tr>
      <w:tr w:rsidR="00AA3B13" w:rsidRPr="00070BDE" w14:paraId="0D071FE8" w14:textId="77777777" w:rsidTr="00C60EA6">
        <w:tc>
          <w:tcPr>
            <w:tcW w:w="5778" w:type="dxa"/>
            <w:vAlign w:val="center"/>
          </w:tcPr>
          <w:p w14:paraId="07C16C93" w14:textId="77777777" w:rsidR="00AA3B13" w:rsidRPr="00E62248" w:rsidRDefault="00AA3B13" w:rsidP="00AA3B13">
            <w:pPr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Εσωτερικό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F0664" w14:textId="77777777" w:rsidR="00AA3B13" w:rsidRPr="00F46683" w:rsidRDefault="00AA3B13" w:rsidP="00AA3B13">
            <w:pPr>
              <w:jc w:val="right"/>
            </w:pPr>
            <w:r w:rsidRPr="00F46683"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CA4" w14:textId="77777777" w:rsidR="00AA3B13" w:rsidRPr="00F74530" w:rsidRDefault="00AA3B13" w:rsidP="00AA3B13">
            <w:pPr>
              <w:jc w:val="right"/>
            </w:pPr>
            <w:r w:rsidRPr="00F74530">
              <w:t>-6</w:t>
            </w:r>
          </w:p>
        </w:tc>
      </w:tr>
      <w:tr w:rsidR="00AA3B13" w:rsidRPr="00070BDE" w14:paraId="45EC5431" w14:textId="77777777" w:rsidTr="00C60EA6">
        <w:tc>
          <w:tcPr>
            <w:tcW w:w="5778" w:type="dxa"/>
            <w:vAlign w:val="center"/>
          </w:tcPr>
          <w:p w14:paraId="655FAFF7" w14:textId="77777777" w:rsidR="00AA3B13" w:rsidRPr="00E62248" w:rsidRDefault="00AA3B13" w:rsidP="00AA3B13">
            <w:pPr>
              <w:jc w:val="both"/>
              <w:rPr>
                <w:sz w:val="22"/>
                <w:szCs w:val="22"/>
              </w:rPr>
            </w:pPr>
            <w:r w:rsidRPr="00E62248">
              <w:rPr>
                <w:i/>
                <w:iCs/>
                <w:sz w:val="22"/>
                <w:szCs w:val="22"/>
              </w:rPr>
              <w:t xml:space="preserve">          Εξωτερικό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E88C6" w14:textId="77777777" w:rsidR="00AA3B13" w:rsidRDefault="00AA3B13" w:rsidP="00AA3B13">
            <w:pPr>
              <w:jc w:val="right"/>
            </w:pPr>
            <w:r w:rsidRPr="00F46683">
              <w:t>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8F1" w14:textId="77777777" w:rsidR="00AA3B13" w:rsidRDefault="00AA3B13" w:rsidP="00AA3B13">
            <w:pPr>
              <w:jc w:val="right"/>
            </w:pPr>
            <w:r w:rsidRPr="00F74530">
              <w:t>-1</w:t>
            </w:r>
          </w:p>
        </w:tc>
      </w:tr>
    </w:tbl>
    <w:p w14:paraId="1666AFF3" w14:textId="77777777" w:rsidR="00CE614F" w:rsidRPr="006950E4" w:rsidRDefault="00CE614F" w:rsidP="00036433">
      <w:pPr>
        <w:rPr>
          <w:b/>
          <w:sz w:val="22"/>
          <w:szCs w:val="22"/>
        </w:rPr>
      </w:pPr>
    </w:p>
    <w:p w14:paraId="7C78B013" w14:textId="77777777" w:rsidR="00A028BF" w:rsidRDefault="00A028BF" w:rsidP="00036433">
      <w:pPr>
        <w:rPr>
          <w:b/>
          <w:sz w:val="22"/>
          <w:szCs w:val="22"/>
        </w:rPr>
      </w:pPr>
    </w:p>
    <w:p w14:paraId="3D07CEF3" w14:textId="77777777" w:rsidR="00EE0810" w:rsidRDefault="00EE0810" w:rsidP="00036433">
      <w:pPr>
        <w:rPr>
          <w:b/>
          <w:sz w:val="22"/>
          <w:szCs w:val="22"/>
        </w:rPr>
      </w:pPr>
    </w:p>
    <w:p w14:paraId="6F9B1877" w14:textId="77777777" w:rsidR="00F206B2" w:rsidRDefault="009C129E" w:rsidP="00036433">
      <w:pPr>
        <w:rPr>
          <w:b/>
          <w:sz w:val="22"/>
          <w:szCs w:val="22"/>
        </w:rPr>
      </w:pPr>
      <w:r>
        <w:rPr>
          <w:b/>
          <w:sz w:val="22"/>
          <w:szCs w:val="22"/>
        </w:rPr>
        <w:t>Διάγραμμα 1</w:t>
      </w:r>
    </w:p>
    <w:p w14:paraId="2C06856B" w14:textId="77777777" w:rsidR="009C129E" w:rsidRDefault="009C129E" w:rsidP="00036433">
      <w:pPr>
        <w:rPr>
          <w:b/>
          <w:sz w:val="22"/>
          <w:szCs w:val="22"/>
        </w:rPr>
      </w:pPr>
    </w:p>
    <w:p w14:paraId="11391AD6" w14:textId="21423D1C" w:rsidR="009C129E" w:rsidRDefault="00525667" w:rsidP="00036433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3272C77" wp14:editId="1CC3DE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04335" cy="3049270"/>
            <wp:effectExtent l="0" t="0" r="0" b="0"/>
            <wp:wrapTopAndBottom/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35" cy="304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749B9" w14:textId="77777777" w:rsidR="009C129E" w:rsidRDefault="009C129E" w:rsidP="00036433">
      <w:pPr>
        <w:rPr>
          <w:b/>
          <w:sz w:val="22"/>
          <w:szCs w:val="22"/>
        </w:rPr>
      </w:pPr>
    </w:p>
    <w:p w14:paraId="36643113" w14:textId="77777777" w:rsidR="009C129E" w:rsidRDefault="009C129E" w:rsidP="00036433">
      <w:pPr>
        <w:rPr>
          <w:b/>
          <w:sz w:val="22"/>
          <w:szCs w:val="22"/>
        </w:rPr>
      </w:pPr>
    </w:p>
    <w:p w14:paraId="3CBB6AD6" w14:textId="77777777" w:rsidR="009C129E" w:rsidRDefault="009C129E" w:rsidP="00036433">
      <w:pPr>
        <w:rPr>
          <w:b/>
          <w:sz w:val="22"/>
          <w:szCs w:val="22"/>
        </w:rPr>
      </w:pPr>
    </w:p>
    <w:p w14:paraId="7CFE71C6" w14:textId="77777777" w:rsidR="009C129E" w:rsidRDefault="009C129E" w:rsidP="00036433">
      <w:pPr>
        <w:rPr>
          <w:b/>
          <w:sz w:val="22"/>
          <w:szCs w:val="22"/>
        </w:rPr>
      </w:pPr>
    </w:p>
    <w:p w14:paraId="485FB78F" w14:textId="77777777" w:rsidR="00552213" w:rsidRDefault="00552213" w:rsidP="00036433">
      <w:pPr>
        <w:rPr>
          <w:b/>
          <w:sz w:val="22"/>
          <w:szCs w:val="22"/>
        </w:rPr>
      </w:pPr>
    </w:p>
    <w:p w14:paraId="1B11C1E4" w14:textId="77777777" w:rsidR="00552213" w:rsidRDefault="00552213" w:rsidP="00036433">
      <w:pPr>
        <w:rPr>
          <w:b/>
          <w:sz w:val="22"/>
          <w:szCs w:val="22"/>
        </w:rPr>
      </w:pPr>
    </w:p>
    <w:p w14:paraId="1348129C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4EFEA8C9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1A9E171D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3DE9832F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425A7F23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24CC2C1F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47C562E6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7A6FEFE3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3352CB9B" w14:textId="77777777" w:rsidR="00171BCB" w:rsidRDefault="00171BCB" w:rsidP="00F206B2">
      <w:pPr>
        <w:rPr>
          <w:b/>
          <w:sz w:val="22"/>
          <w:szCs w:val="22"/>
          <w:lang w:val="el-GR"/>
        </w:rPr>
      </w:pPr>
    </w:p>
    <w:p w14:paraId="0A59C1C5" w14:textId="77777777" w:rsidR="00821320" w:rsidRDefault="00821320" w:rsidP="00F206B2">
      <w:pPr>
        <w:rPr>
          <w:b/>
          <w:sz w:val="22"/>
          <w:szCs w:val="22"/>
          <w:lang w:val="el-GR"/>
        </w:rPr>
      </w:pPr>
    </w:p>
    <w:p w14:paraId="306B487B" w14:textId="77777777" w:rsidR="00EE0CB0" w:rsidRDefault="00EE0CB0" w:rsidP="00F206B2">
      <w:pPr>
        <w:rPr>
          <w:b/>
          <w:sz w:val="22"/>
          <w:szCs w:val="22"/>
          <w:lang w:val="el-GR"/>
        </w:rPr>
      </w:pPr>
    </w:p>
    <w:p w14:paraId="1EC86D14" w14:textId="77777777" w:rsidR="00F206B2" w:rsidRDefault="00F206B2" w:rsidP="00F206B2">
      <w:pPr>
        <w:rPr>
          <w:b/>
          <w:sz w:val="22"/>
          <w:szCs w:val="22"/>
          <w:lang w:val="el-GR"/>
        </w:rPr>
      </w:pPr>
      <w:r w:rsidRPr="00FB00A7">
        <w:rPr>
          <w:b/>
          <w:sz w:val="22"/>
          <w:szCs w:val="22"/>
          <w:lang w:val="el-GR"/>
        </w:rPr>
        <w:lastRenderedPageBreak/>
        <w:t>Διάγραμμα 2</w:t>
      </w:r>
    </w:p>
    <w:p w14:paraId="0A0D5C4E" w14:textId="77777777" w:rsidR="00814723" w:rsidRDefault="00814723" w:rsidP="00F206B2">
      <w:pPr>
        <w:rPr>
          <w:b/>
          <w:sz w:val="22"/>
          <w:szCs w:val="22"/>
          <w:lang w:val="el-GR"/>
        </w:rPr>
      </w:pPr>
    </w:p>
    <w:p w14:paraId="3D9ACD1D" w14:textId="6AC8CD8E" w:rsidR="00814723" w:rsidRDefault="00525667" w:rsidP="00F206B2">
      <w:pPr>
        <w:rPr>
          <w:b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50E1A779" wp14:editId="7DE58FC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831840" cy="3617595"/>
            <wp:effectExtent l="0" t="0" r="0" b="0"/>
            <wp:wrapTopAndBottom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61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BB4E3" w14:textId="77777777" w:rsidR="00D03702" w:rsidRDefault="00D03702" w:rsidP="00F206B2">
      <w:pPr>
        <w:rPr>
          <w:b/>
          <w:sz w:val="22"/>
          <w:szCs w:val="22"/>
          <w:lang w:val="el-GR"/>
        </w:rPr>
      </w:pPr>
    </w:p>
    <w:p w14:paraId="1A176320" w14:textId="77777777" w:rsidR="00534BB1" w:rsidRDefault="00534BB1" w:rsidP="0031508B">
      <w:pPr>
        <w:rPr>
          <w:b/>
          <w:color w:val="auto"/>
          <w:sz w:val="22"/>
          <w:szCs w:val="22"/>
          <w:u w:val="single"/>
          <w:lang w:val="el-GR"/>
        </w:rPr>
      </w:pPr>
    </w:p>
    <w:p w14:paraId="0E428371" w14:textId="77777777" w:rsidR="00897061" w:rsidRPr="001761E8" w:rsidRDefault="00104D7C" w:rsidP="0031508B">
      <w:pPr>
        <w:rPr>
          <w:b/>
          <w:sz w:val="22"/>
          <w:szCs w:val="22"/>
          <w:lang w:val="el-GR"/>
        </w:rPr>
      </w:pPr>
      <w:r w:rsidRPr="00594A3A">
        <w:rPr>
          <w:b/>
          <w:color w:val="auto"/>
          <w:sz w:val="22"/>
          <w:szCs w:val="22"/>
          <w:u w:val="single"/>
          <w:lang w:val="el-GR"/>
        </w:rPr>
        <w:t>Σημειώσεις</w:t>
      </w:r>
      <w:r w:rsidR="00DE0944" w:rsidRPr="00897061">
        <w:rPr>
          <w:color w:val="002060"/>
          <w:sz w:val="22"/>
          <w:szCs w:val="22"/>
          <w:lang w:val="el-GR"/>
        </w:rPr>
        <w:t>:</w:t>
      </w:r>
    </w:p>
    <w:p w14:paraId="28B93E19" w14:textId="77777777" w:rsidR="00C04F67" w:rsidRDefault="00C04F67" w:rsidP="003B10B9">
      <w:pPr>
        <w:keepNext/>
        <w:widowControl w:val="0"/>
        <w:spacing w:line="360" w:lineRule="auto"/>
        <w:jc w:val="both"/>
        <w:rPr>
          <w:sz w:val="22"/>
          <w:szCs w:val="22"/>
          <w:lang w:val="el-GR"/>
        </w:rPr>
      </w:pPr>
    </w:p>
    <w:p w14:paraId="659019D3" w14:textId="77777777" w:rsidR="00104D7C" w:rsidRDefault="00941C62" w:rsidP="003B10B9">
      <w:pPr>
        <w:keepNext/>
        <w:widowControl w:val="0"/>
        <w:spacing w:line="360" w:lineRule="auto"/>
        <w:jc w:val="both"/>
        <w:rPr>
          <w:iCs/>
          <w:sz w:val="22"/>
          <w:szCs w:val="22"/>
          <w:lang w:val="el-GR"/>
        </w:rPr>
      </w:pPr>
      <w:r w:rsidRPr="00941C62">
        <w:rPr>
          <w:sz w:val="22"/>
          <w:szCs w:val="22"/>
          <w:lang w:val="el-GR"/>
        </w:rPr>
        <w:t>1.</w:t>
      </w:r>
      <w:r>
        <w:rPr>
          <w:sz w:val="22"/>
          <w:szCs w:val="22"/>
          <w:lang w:val="el-GR"/>
        </w:rPr>
        <w:t xml:space="preserve"> </w:t>
      </w:r>
      <w:r w:rsidR="00036433" w:rsidRPr="00036433">
        <w:rPr>
          <w:sz w:val="22"/>
          <w:szCs w:val="22"/>
          <w:lang w:val="el-GR"/>
        </w:rPr>
        <w:t>Στοιχεία προς την Τράπεζα της Ελλάδος υποβάλλουν οι εποπτευόμενες ασφαλιστικές επιχειρήσεις, όπως αυτές ορίζονται</w:t>
      </w:r>
      <w:r w:rsidR="00036433" w:rsidRPr="00036433">
        <w:rPr>
          <w:iCs/>
          <w:sz w:val="22"/>
          <w:szCs w:val="22"/>
          <w:lang w:val="el-GR"/>
        </w:rPr>
        <w:t xml:space="preserve"> στο άρθρο 1 της </w:t>
      </w:r>
      <w:hyperlink r:id="rId11" w:history="1">
        <w:r>
          <w:rPr>
            <w:rStyle w:val="Hyperlink"/>
            <w:iCs/>
            <w:sz w:val="22"/>
            <w:szCs w:val="22"/>
            <w:lang w:val="el-GR"/>
          </w:rPr>
          <w:t>Πράξης Εκτελεστικής Επιτροπής 94/16.5.2016</w:t>
        </w:r>
      </w:hyperlink>
      <w:r w:rsidR="00891086" w:rsidRPr="00891086">
        <w:rPr>
          <w:rStyle w:val="Hyperlink"/>
          <w:iCs/>
          <w:sz w:val="22"/>
          <w:szCs w:val="22"/>
          <w:u w:val="none"/>
          <w:lang w:val="el-GR"/>
        </w:rPr>
        <w:t xml:space="preserve"> </w:t>
      </w:r>
      <w:r w:rsidR="00036433" w:rsidRPr="00036433">
        <w:rPr>
          <w:iCs/>
          <w:sz w:val="22"/>
          <w:szCs w:val="22"/>
          <w:lang w:val="el-GR"/>
        </w:rPr>
        <w:t>με θέμα «Ενιαία υποβολή εθνικών αναφορών ασφαλιστικών και αντασφαλιστικών επιχειρήσεων προς την Τράπεζα της Ελλάδος, στο πλαίσιο της Φερεγγυότητας ΙΙ για εποπτικούς και στατιστικούς σκοπούς».</w:t>
      </w:r>
    </w:p>
    <w:p w14:paraId="643B9E33" w14:textId="77777777" w:rsidR="00534BB1" w:rsidRPr="00534BB1" w:rsidRDefault="00941C62" w:rsidP="00534BB1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2. </w:t>
      </w:r>
      <w:r w:rsidR="00386254" w:rsidRPr="006E2C34">
        <w:rPr>
          <w:sz w:val="22"/>
          <w:szCs w:val="22"/>
          <w:lang w:val="el-GR"/>
        </w:rPr>
        <w:t>Οι καθαρές ροές προκύπτουν από τη μεταβολή των υπολοίπων</w:t>
      </w:r>
      <w:r w:rsidR="00951FE9">
        <w:rPr>
          <w:sz w:val="22"/>
          <w:szCs w:val="22"/>
          <w:lang w:val="el-GR"/>
        </w:rPr>
        <w:t>,</w:t>
      </w:r>
      <w:r w:rsidR="00386254" w:rsidRPr="006E2C34">
        <w:rPr>
          <w:sz w:val="22"/>
          <w:szCs w:val="22"/>
          <w:lang w:val="el-GR"/>
        </w:rPr>
        <w:t xml:space="preserve"> διορθωμένη για το μέρος της μεταβολής που οφείλεται σε διαφορές αποτίμησης και προσαρμογές από </w:t>
      </w:r>
      <w:proofErr w:type="spellStart"/>
      <w:r w:rsidR="00386254" w:rsidRPr="006E2C34">
        <w:rPr>
          <w:sz w:val="22"/>
          <w:szCs w:val="22"/>
          <w:lang w:val="el-GR"/>
        </w:rPr>
        <w:t>αναταξινομήσεις</w:t>
      </w:r>
      <w:proofErr w:type="spellEnd"/>
      <w:r w:rsidR="00B04A18">
        <w:rPr>
          <w:sz w:val="22"/>
          <w:szCs w:val="22"/>
          <w:lang w:val="el-GR"/>
        </w:rPr>
        <w:t>.</w:t>
      </w:r>
    </w:p>
    <w:p w14:paraId="5E30EF9B" w14:textId="77777777" w:rsidR="00812863" w:rsidRPr="00724E80" w:rsidRDefault="00F5007A" w:rsidP="00724E80">
      <w:pPr>
        <w:spacing w:before="240" w:line="360" w:lineRule="auto"/>
        <w:jc w:val="both"/>
        <w:rPr>
          <w:color w:val="002060"/>
          <w:sz w:val="22"/>
          <w:szCs w:val="22"/>
          <w:lang w:val="el-GR"/>
        </w:rPr>
      </w:pPr>
      <w:r w:rsidRPr="00594A3A">
        <w:rPr>
          <w:b/>
          <w:color w:val="auto"/>
          <w:sz w:val="22"/>
          <w:szCs w:val="22"/>
          <w:u w:val="single"/>
          <w:lang w:val="el-GR"/>
        </w:rPr>
        <w:t>Περισσότερες πληροφορίες</w:t>
      </w:r>
      <w:r w:rsidR="00DE0944" w:rsidRPr="00DE0944">
        <w:rPr>
          <w:color w:val="002060"/>
          <w:sz w:val="22"/>
          <w:szCs w:val="22"/>
          <w:lang w:val="el-GR"/>
        </w:rPr>
        <w:t>:</w:t>
      </w:r>
    </w:p>
    <w:p w14:paraId="1664E86D" w14:textId="77777777" w:rsidR="00F5007A" w:rsidRDefault="00036433" w:rsidP="000D7C7F">
      <w:pPr>
        <w:spacing w:line="360" w:lineRule="auto"/>
        <w:jc w:val="both"/>
        <w:rPr>
          <w:sz w:val="22"/>
          <w:szCs w:val="22"/>
          <w:lang w:val="el-GR"/>
        </w:rPr>
      </w:pPr>
      <w:r w:rsidRPr="006950E4">
        <w:rPr>
          <w:sz w:val="22"/>
          <w:szCs w:val="22"/>
          <w:lang w:val="el-GR"/>
        </w:rPr>
        <w:t>Το επόμενο Δελτίο Τύπου για τα «Στατιστικά Στοιχεία Ασφαλιστικώ</w:t>
      </w:r>
      <w:r w:rsidR="00AA6D22">
        <w:rPr>
          <w:sz w:val="22"/>
          <w:szCs w:val="22"/>
          <w:lang w:val="el-GR"/>
        </w:rPr>
        <w:t>ν Επιχειρήσεων» με στοιχεία του</w:t>
      </w:r>
      <w:r w:rsidR="00AA6D22" w:rsidRPr="00204D56">
        <w:rPr>
          <w:sz w:val="22"/>
          <w:szCs w:val="22"/>
          <w:lang w:val="el-GR"/>
        </w:rPr>
        <w:t xml:space="preserve"> </w:t>
      </w:r>
      <w:r w:rsidR="00552213">
        <w:rPr>
          <w:sz w:val="22"/>
          <w:szCs w:val="22"/>
          <w:lang w:val="el-GR"/>
        </w:rPr>
        <w:t>β</w:t>
      </w:r>
      <w:r w:rsidR="00E526BA" w:rsidRPr="00682D30">
        <w:rPr>
          <w:sz w:val="22"/>
          <w:szCs w:val="22"/>
          <w:lang w:val="el-GR"/>
        </w:rPr>
        <w:t>΄</w:t>
      </w:r>
      <w:r w:rsidRPr="006950E4">
        <w:rPr>
          <w:sz w:val="22"/>
          <w:szCs w:val="22"/>
          <w:lang w:val="el-GR"/>
        </w:rPr>
        <w:t xml:space="preserve"> τριμήνου του 202</w:t>
      </w:r>
      <w:r w:rsidR="00B47D6F">
        <w:rPr>
          <w:sz w:val="22"/>
          <w:szCs w:val="22"/>
          <w:lang w:val="el-GR"/>
        </w:rPr>
        <w:t>6</w:t>
      </w:r>
      <w:r w:rsidRPr="006950E4">
        <w:rPr>
          <w:sz w:val="22"/>
          <w:szCs w:val="22"/>
          <w:lang w:val="el-GR"/>
        </w:rPr>
        <w:t xml:space="preserve"> θα δημοσιευ</w:t>
      </w:r>
      <w:r w:rsidR="0098540D">
        <w:rPr>
          <w:sz w:val="22"/>
          <w:szCs w:val="22"/>
          <w:lang w:val="el-GR"/>
        </w:rPr>
        <w:t>θ</w:t>
      </w:r>
      <w:r w:rsidRPr="006950E4">
        <w:rPr>
          <w:sz w:val="22"/>
          <w:szCs w:val="22"/>
          <w:lang w:val="el-GR"/>
        </w:rPr>
        <w:t xml:space="preserve">εί </w:t>
      </w:r>
      <w:r>
        <w:rPr>
          <w:sz w:val="22"/>
          <w:szCs w:val="22"/>
          <w:lang w:val="el-GR"/>
        </w:rPr>
        <w:t>στις</w:t>
      </w:r>
      <w:r w:rsidRPr="006950E4">
        <w:rPr>
          <w:sz w:val="22"/>
          <w:szCs w:val="22"/>
          <w:lang w:val="el-GR"/>
        </w:rPr>
        <w:t xml:space="preserve"> </w:t>
      </w:r>
      <w:r w:rsidR="00552213">
        <w:rPr>
          <w:sz w:val="22"/>
          <w:szCs w:val="22"/>
          <w:lang w:val="el-GR"/>
        </w:rPr>
        <w:t>26</w:t>
      </w:r>
      <w:r w:rsidR="001B79B1">
        <w:rPr>
          <w:sz w:val="22"/>
          <w:szCs w:val="22"/>
          <w:lang w:val="el-GR"/>
        </w:rPr>
        <w:t xml:space="preserve"> </w:t>
      </w:r>
      <w:r w:rsidR="00552213">
        <w:rPr>
          <w:sz w:val="22"/>
          <w:szCs w:val="22"/>
          <w:lang w:val="el-GR"/>
        </w:rPr>
        <w:t>Αυγούστου</w:t>
      </w:r>
      <w:r w:rsidR="00B47D6F">
        <w:rPr>
          <w:sz w:val="22"/>
          <w:szCs w:val="22"/>
          <w:lang w:val="el-GR"/>
        </w:rPr>
        <w:t xml:space="preserve"> </w:t>
      </w:r>
      <w:r w:rsidR="00943696" w:rsidRPr="00B47D6F">
        <w:rPr>
          <w:sz w:val="22"/>
          <w:szCs w:val="22"/>
          <w:lang w:val="el-GR"/>
        </w:rPr>
        <w:t>202</w:t>
      </w:r>
      <w:r w:rsidR="00CD4670" w:rsidRPr="00B47D6F">
        <w:rPr>
          <w:sz w:val="22"/>
          <w:szCs w:val="22"/>
          <w:lang w:val="el-GR"/>
        </w:rPr>
        <w:t>6</w:t>
      </w:r>
      <w:r w:rsidRPr="006950E4">
        <w:rPr>
          <w:sz w:val="22"/>
          <w:szCs w:val="22"/>
          <w:lang w:val="el-GR"/>
        </w:rPr>
        <w:t xml:space="preserve">, σύμφωνα με το </w:t>
      </w:r>
      <w:hyperlink r:id="rId12" w:history="1">
        <w:r w:rsidRPr="003D500F">
          <w:rPr>
            <w:rStyle w:val="Hyperlink"/>
            <w:sz w:val="22"/>
            <w:szCs w:val="22"/>
            <w:lang w:val="el-GR"/>
          </w:rPr>
          <w:t>Ημερολ</w:t>
        </w:r>
        <w:r w:rsidRPr="003D500F">
          <w:rPr>
            <w:rStyle w:val="Hyperlink"/>
            <w:sz w:val="22"/>
            <w:szCs w:val="22"/>
            <w:lang w:val="el-GR"/>
          </w:rPr>
          <w:t>ό</w:t>
        </w:r>
        <w:r w:rsidRPr="003D500F">
          <w:rPr>
            <w:rStyle w:val="Hyperlink"/>
            <w:sz w:val="22"/>
            <w:szCs w:val="22"/>
            <w:lang w:val="el-GR"/>
          </w:rPr>
          <w:t>γι</w:t>
        </w:r>
        <w:r w:rsidRPr="003D500F">
          <w:rPr>
            <w:rStyle w:val="Hyperlink"/>
            <w:sz w:val="22"/>
            <w:szCs w:val="22"/>
            <w:lang w:val="el-GR"/>
          </w:rPr>
          <w:t>ο</w:t>
        </w:r>
        <w:r w:rsidRPr="003D500F">
          <w:rPr>
            <w:rStyle w:val="Hyperlink"/>
            <w:sz w:val="22"/>
            <w:szCs w:val="22"/>
            <w:lang w:val="el-GR"/>
          </w:rPr>
          <w:t xml:space="preserve"> δ</w:t>
        </w:r>
        <w:r w:rsidRPr="003D500F">
          <w:rPr>
            <w:rStyle w:val="Hyperlink"/>
            <w:sz w:val="22"/>
            <w:szCs w:val="22"/>
            <w:lang w:val="el-GR"/>
          </w:rPr>
          <w:t>η</w:t>
        </w:r>
        <w:r w:rsidRPr="003D500F">
          <w:rPr>
            <w:rStyle w:val="Hyperlink"/>
            <w:sz w:val="22"/>
            <w:szCs w:val="22"/>
            <w:lang w:val="el-GR"/>
          </w:rPr>
          <w:t>μ</w:t>
        </w:r>
        <w:r w:rsidRPr="003D500F">
          <w:rPr>
            <w:rStyle w:val="Hyperlink"/>
            <w:sz w:val="22"/>
            <w:szCs w:val="22"/>
            <w:lang w:val="el-GR"/>
          </w:rPr>
          <w:t>ο</w:t>
        </w:r>
        <w:r w:rsidRPr="003D500F">
          <w:rPr>
            <w:rStyle w:val="Hyperlink"/>
            <w:sz w:val="22"/>
            <w:szCs w:val="22"/>
            <w:lang w:val="el-GR"/>
          </w:rPr>
          <w:t>σ</w:t>
        </w:r>
        <w:r w:rsidRPr="003D500F">
          <w:rPr>
            <w:rStyle w:val="Hyperlink"/>
            <w:sz w:val="22"/>
            <w:szCs w:val="22"/>
            <w:lang w:val="el-GR"/>
          </w:rPr>
          <w:t>ί</w:t>
        </w:r>
        <w:r w:rsidRPr="003D500F">
          <w:rPr>
            <w:rStyle w:val="Hyperlink"/>
            <w:sz w:val="22"/>
            <w:szCs w:val="22"/>
            <w:lang w:val="el-GR"/>
          </w:rPr>
          <w:t>ε</w:t>
        </w:r>
        <w:r w:rsidRPr="003D500F">
          <w:rPr>
            <w:rStyle w:val="Hyperlink"/>
            <w:sz w:val="22"/>
            <w:szCs w:val="22"/>
            <w:lang w:val="el-GR"/>
          </w:rPr>
          <w:t>υ</w:t>
        </w:r>
        <w:r w:rsidRPr="003D500F">
          <w:rPr>
            <w:rStyle w:val="Hyperlink"/>
            <w:sz w:val="22"/>
            <w:szCs w:val="22"/>
            <w:lang w:val="el-GR"/>
          </w:rPr>
          <w:t>σ</w:t>
        </w:r>
        <w:r w:rsidRPr="003D500F">
          <w:rPr>
            <w:rStyle w:val="Hyperlink"/>
            <w:sz w:val="22"/>
            <w:szCs w:val="22"/>
            <w:lang w:val="el-GR"/>
          </w:rPr>
          <w:t>ης,</w:t>
        </w:r>
      </w:hyperlink>
      <w:r w:rsidRPr="006950E4">
        <w:rPr>
          <w:sz w:val="22"/>
          <w:szCs w:val="22"/>
          <w:lang w:val="el-GR"/>
        </w:rPr>
        <w:t xml:space="preserve"> όπως αναρτάται στον ιστοχώρο της Τράπεζας της Ελλάδος.</w:t>
      </w:r>
      <w:r w:rsidR="009F563F" w:rsidRPr="00635D0E" w:rsidDel="009F563F">
        <w:rPr>
          <w:sz w:val="22"/>
          <w:szCs w:val="22"/>
          <w:lang w:val="el-GR"/>
        </w:rPr>
        <w:t xml:space="preserve"> </w:t>
      </w:r>
    </w:p>
    <w:p w14:paraId="38354C47" w14:textId="77777777" w:rsidR="00534BB1" w:rsidRDefault="00534BB1" w:rsidP="00B26B68">
      <w:pPr>
        <w:spacing w:line="360" w:lineRule="auto"/>
        <w:rPr>
          <w:b/>
          <w:sz w:val="22"/>
          <w:szCs w:val="22"/>
          <w:u w:val="single"/>
          <w:lang w:val="el-GR"/>
        </w:rPr>
      </w:pPr>
    </w:p>
    <w:p w14:paraId="6FBC1FD9" w14:textId="77777777" w:rsidR="00812863" w:rsidRDefault="00943696" w:rsidP="00B26B68">
      <w:pPr>
        <w:spacing w:line="360" w:lineRule="auto"/>
        <w:rPr>
          <w:sz w:val="22"/>
          <w:szCs w:val="22"/>
          <w:lang w:val="el-GR"/>
        </w:rPr>
      </w:pPr>
      <w:r w:rsidRPr="001914E2">
        <w:rPr>
          <w:b/>
          <w:sz w:val="22"/>
          <w:szCs w:val="22"/>
          <w:u w:val="single"/>
          <w:lang w:val="el-GR"/>
        </w:rPr>
        <w:t>Σχετικ</w:t>
      </w:r>
      <w:r w:rsidR="00246709">
        <w:rPr>
          <w:b/>
          <w:sz w:val="22"/>
          <w:szCs w:val="22"/>
          <w:u w:val="single"/>
          <w:lang w:val="el-GR"/>
        </w:rPr>
        <w:t>ός</w:t>
      </w:r>
      <w:r w:rsidRPr="001914E2">
        <w:rPr>
          <w:b/>
          <w:sz w:val="22"/>
          <w:szCs w:val="22"/>
          <w:u w:val="single"/>
          <w:lang w:val="el-GR"/>
        </w:rPr>
        <w:t xml:space="preserve"> σύνδεσμο</w:t>
      </w:r>
      <w:r w:rsidR="00246709">
        <w:rPr>
          <w:b/>
          <w:sz w:val="22"/>
          <w:szCs w:val="22"/>
          <w:u w:val="single"/>
          <w:lang w:val="el-GR"/>
        </w:rPr>
        <w:t>ς</w:t>
      </w:r>
      <w:r w:rsidR="00F7479A">
        <w:rPr>
          <w:sz w:val="22"/>
          <w:szCs w:val="22"/>
          <w:lang w:val="el-GR"/>
        </w:rPr>
        <w:t>:</w:t>
      </w:r>
    </w:p>
    <w:p w14:paraId="1F1EC2CB" w14:textId="77777777" w:rsidR="00943696" w:rsidRPr="0068536A" w:rsidRDefault="00943696" w:rsidP="000D7C7F">
      <w:pPr>
        <w:spacing w:line="360" w:lineRule="auto"/>
        <w:jc w:val="both"/>
        <w:rPr>
          <w:sz w:val="22"/>
          <w:szCs w:val="22"/>
          <w:lang w:val="el-GR"/>
        </w:rPr>
      </w:pPr>
      <w:hyperlink r:id="rId13" w:history="1">
        <w:r w:rsidRPr="00C14BE4">
          <w:rPr>
            <w:rStyle w:val="Hyperlink"/>
            <w:sz w:val="22"/>
            <w:szCs w:val="22"/>
            <w:lang w:val="el-GR"/>
          </w:rPr>
          <w:t>Συγκεντρωτικές λογιστικές κατ</w:t>
        </w:r>
        <w:r w:rsidRPr="00C14BE4">
          <w:rPr>
            <w:rStyle w:val="Hyperlink"/>
            <w:sz w:val="22"/>
            <w:szCs w:val="22"/>
            <w:lang w:val="el-GR"/>
          </w:rPr>
          <w:t>α</w:t>
        </w:r>
        <w:r w:rsidRPr="00C14BE4">
          <w:rPr>
            <w:rStyle w:val="Hyperlink"/>
            <w:sz w:val="22"/>
            <w:szCs w:val="22"/>
            <w:lang w:val="el-GR"/>
          </w:rPr>
          <w:t>σ</w:t>
        </w:r>
        <w:r w:rsidRPr="00C14BE4">
          <w:rPr>
            <w:rStyle w:val="Hyperlink"/>
            <w:sz w:val="22"/>
            <w:szCs w:val="22"/>
            <w:lang w:val="el-GR"/>
          </w:rPr>
          <w:t>τάσεις ασφαλιστικών επιχειρήσεων</w:t>
        </w:r>
      </w:hyperlink>
      <w:r>
        <w:rPr>
          <w:sz w:val="22"/>
          <w:szCs w:val="22"/>
          <w:lang w:val="el-GR"/>
        </w:rPr>
        <w:t xml:space="preserve"> </w:t>
      </w:r>
    </w:p>
    <w:sectPr w:rsidR="00943696" w:rsidRPr="0068536A" w:rsidSect="00E81BAC">
      <w:footerReference w:type="default" r:id="rId14"/>
      <w:footerReference w:type="first" r:id="rId15"/>
      <w:pgSz w:w="11906" w:h="16838"/>
      <w:pgMar w:top="426" w:right="1418" w:bottom="1418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9BA5" w14:textId="77777777" w:rsidR="007027F7" w:rsidRDefault="007027F7">
      <w:r>
        <w:separator/>
      </w:r>
    </w:p>
  </w:endnote>
  <w:endnote w:type="continuationSeparator" w:id="0">
    <w:p w14:paraId="2374D9FC" w14:textId="77777777" w:rsidR="007027F7" w:rsidRDefault="0070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532A" w14:textId="77777777" w:rsidR="008D3B5F" w:rsidRDefault="008D3B5F" w:rsidP="006F37D0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6B4F6D83" w14:textId="77777777" w:rsidR="008D3B5F" w:rsidRPr="00614A99" w:rsidRDefault="008D3B5F" w:rsidP="00766A4F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8D3B5F" w:rsidRPr="00766A4F" w14:paraId="2FBB7C12" w14:textId="77777777" w:rsidTr="00F26854">
      <w:tc>
        <w:tcPr>
          <w:tcW w:w="4917" w:type="dxa"/>
          <w:tcBorders>
            <w:left w:val="single" w:sz="48" w:space="0" w:color="BC9E6E"/>
          </w:tcBorders>
        </w:tcPr>
        <w:p w14:paraId="61293326" w14:textId="77777777" w:rsidR="008D3B5F" w:rsidRDefault="008D3B5F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049C1CB0" w14:textId="77777777" w:rsidR="008D3B5F" w:rsidRDefault="008D3B5F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Τηλ</w:t>
          </w:r>
          <w:r>
            <w:rPr>
              <w:rFonts w:ascii="Arial" w:hAnsi="Arial" w:cs="Arial"/>
              <w:sz w:val="14"/>
              <w:lang w:val="en-US"/>
            </w:rPr>
            <w:t>:</w:t>
          </w:r>
          <w:r w:rsidRPr="005B1F16">
            <w:rPr>
              <w:rFonts w:ascii="Arial" w:hAnsi="Arial" w:cs="Arial"/>
              <w:sz w:val="14"/>
              <w:lang w:val="el-GR"/>
            </w:rPr>
            <w:t xml:space="preserve"> 210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320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3446-8</w:t>
          </w:r>
        </w:p>
        <w:p w14:paraId="74054448" w14:textId="18FEF149" w:rsidR="008D3B5F" w:rsidRDefault="008D3B5F" w:rsidP="006B5E1E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hyperlink r:id="rId1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>
            <w:rPr>
              <w:rFonts w:ascii="Arial" w:hAnsi="Arial" w:cs="Arial"/>
              <w:sz w:val="14"/>
              <w:lang w:val="el-GR"/>
            </w:rPr>
            <w:t xml:space="preserve"> | </w:t>
          </w:r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  <w:hyperlink r:id="rId2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</w:p>
      </w:tc>
      <w:tc>
        <w:tcPr>
          <w:tcW w:w="4581" w:type="dxa"/>
        </w:tcPr>
        <w:p w14:paraId="09196EC7" w14:textId="286F3157" w:rsidR="008D3B5F" w:rsidRPr="00184CB0" w:rsidRDefault="008D3B5F" w:rsidP="00766A4F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EE0CB0">
            <w:rPr>
              <w:rFonts w:ascii="Arial" w:hAnsi="Arial" w:cs="Arial"/>
              <w:noProof/>
              <w:color w:val="auto"/>
              <w:sz w:val="18"/>
              <w:lang w:val="en-US"/>
            </w:rPr>
            <w:t>1</w:t>
          </w:r>
          <w:r w:rsidRPr="006F37D0"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 w:rsidRPr="00D929F5"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469385B9" w14:textId="77777777" w:rsidR="008D3B5F" w:rsidRDefault="008D3B5F" w:rsidP="006F37D0">
    <w:pPr>
      <w:pStyle w:val="Footer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4203" w14:textId="77777777" w:rsidR="008D3B5F" w:rsidRDefault="008D3B5F">
    <w:pPr>
      <w:pStyle w:val="Footer"/>
      <w:rPr>
        <w:sz w:val="20"/>
        <w:lang w:val="de-DE"/>
      </w:rPr>
    </w:pPr>
  </w:p>
  <w:p w14:paraId="5F5E2F40" w14:textId="77777777" w:rsidR="008D3B5F" w:rsidRDefault="008D3B5F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F661" w14:textId="77777777" w:rsidR="007027F7" w:rsidRDefault="007027F7">
      <w:r>
        <w:separator/>
      </w:r>
    </w:p>
  </w:footnote>
  <w:footnote w:type="continuationSeparator" w:id="0">
    <w:p w14:paraId="556872A6" w14:textId="77777777" w:rsidR="007027F7" w:rsidRDefault="0070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1E86"/>
    <w:multiLevelType w:val="hybridMultilevel"/>
    <w:tmpl w:val="286AAF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AE8"/>
    <w:multiLevelType w:val="hybridMultilevel"/>
    <w:tmpl w:val="52E6A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D85D8F"/>
    <w:multiLevelType w:val="hybridMultilevel"/>
    <w:tmpl w:val="8F762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606F"/>
    <w:multiLevelType w:val="hybridMultilevel"/>
    <w:tmpl w:val="B5B20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7F4D"/>
    <w:multiLevelType w:val="hybridMultilevel"/>
    <w:tmpl w:val="E4D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C082B"/>
    <w:multiLevelType w:val="hybridMultilevel"/>
    <w:tmpl w:val="3488B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4487">
    <w:abstractNumId w:val="4"/>
  </w:num>
  <w:num w:numId="2" w16cid:durableId="1921519631">
    <w:abstractNumId w:val="6"/>
  </w:num>
  <w:num w:numId="3" w16cid:durableId="1424842926">
    <w:abstractNumId w:val="5"/>
  </w:num>
  <w:num w:numId="4" w16cid:durableId="920987704">
    <w:abstractNumId w:val="2"/>
  </w:num>
  <w:num w:numId="5" w16cid:durableId="420613856">
    <w:abstractNumId w:val="1"/>
  </w:num>
  <w:num w:numId="6" w16cid:durableId="1269892417">
    <w:abstractNumId w:val="3"/>
  </w:num>
  <w:num w:numId="7" w16cid:durableId="95108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A"/>
    <w:rsid w:val="00000BED"/>
    <w:rsid w:val="00000C30"/>
    <w:rsid w:val="0000324F"/>
    <w:rsid w:val="000103ED"/>
    <w:rsid w:val="000135D0"/>
    <w:rsid w:val="000207FB"/>
    <w:rsid w:val="00021402"/>
    <w:rsid w:val="00022F02"/>
    <w:rsid w:val="000243CF"/>
    <w:rsid w:val="00025D59"/>
    <w:rsid w:val="000272CF"/>
    <w:rsid w:val="00027F24"/>
    <w:rsid w:val="00031746"/>
    <w:rsid w:val="000321CE"/>
    <w:rsid w:val="00034937"/>
    <w:rsid w:val="00035F94"/>
    <w:rsid w:val="000361A0"/>
    <w:rsid w:val="00036433"/>
    <w:rsid w:val="00037147"/>
    <w:rsid w:val="00037252"/>
    <w:rsid w:val="00041FD5"/>
    <w:rsid w:val="00043B61"/>
    <w:rsid w:val="00043B74"/>
    <w:rsid w:val="00044C8F"/>
    <w:rsid w:val="0004510B"/>
    <w:rsid w:val="00045338"/>
    <w:rsid w:val="00051354"/>
    <w:rsid w:val="000606A0"/>
    <w:rsid w:val="00073219"/>
    <w:rsid w:val="00075560"/>
    <w:rsid w:val="000766A4"/>
    <w:rsid w:val="0008485C"/>
    <w:rsid w:val="00086D3F"/>
    <w:rsid w:val="00086E10"/>
    <w:rsid w:val="00087384"/>
    <w:rsid w:val="000A12E8"/>
    <w:rsid w:val="000A1CAE"/>
    <w:rsid w:val="000A288F"/>
    <w:rsid w:val="000A304A"/>
    <w:rsid w:val="000A4140"/>
    <w:rsid w:val="000A5141"/>
    <w:rsid w:val="000A5239"/>
    <w:rsid w:val="000A6028"/>
    <w:rsid w:val="000A76FB"/>
    <w:rsid w:val="000B52ED"/>
    <w:rsid w:val="000B6068"/>
    <w:rsid w:val="000B7923"/>
    <w:rsid w:val="000C1B9A"/>
    <w:rsid w:val="000C24A8"/>
    <w:rsid w:val="000C32E3"/>
    <w:rsid w:val="000C32E7"/>
    <w:rsid w:val="000C46DD"/>
    <w:rsid w:val="000C5182"/>
    <w:rsid w:val="000C726B"/>
    <w:rsid w:val="000C7A18"/>
    <w:rsid w:val="000D0221"/>
    <w:rsid w:val="000D1A19"/>
    <w:rsid w:val="000D2F97"/>
    <w:rsid w:val="000D3239"/>
    <w:rsid w:val="000D3ECB"/>
    <w:rsid w:val="000D40CD"/>
    <w:rsid w:val="000D436D"/>
    <w:rsid w:val="000D4A1A"/>
    <w:rsid w:val="000D51E7"/>
    <w:rsid w:val="000D5526"/>
    <w:rsid w:val="000D7C7F"/>
    <w:rsid w:val="000E5626"/>
    <w:rsid w:val="000E56F5"/>
    <w:rsid w:val="000E6000"/>
    <w:rsid w:val="000F7419"/>
    <w:rsid w:val="000F7B2B"/>
    <w:rsid w:val="0010083B"/>
    <w:rsid w:val="00100B00"/>
    <w:rsid w:val="00100FFB"/>
    <w:rsid w:val="00102508"/>
    <w:rsid w:val="001031E0"/>
    <w:rsid w:val="00104D7C"/>
    <w:rsid w:val="0010702E"/>
    <w:rsid w:val="001079B1"/>
    <w:rsid w:val="0011136C"/>
    <w:rsid w:val="00114E1A"/>
    <w:rsid w:val="0011682E"/>
    <w:rsid w:val="001231FA"/>
    <w:rsid w:val="00123304"/>
    <w:rsid w:val="0012342A"/>
    <w:rsid w:val="00130A95"/>
    <w:rsid w:val="00134F81"/>
    <w:rsid w:val="00135118"/>
    <w:rsid w:val="001371E6"/>
    <w:rsid w:val="00146C01"/>
    <w:rsid w:val="00150D6B"/>
    <w:rsid w:val="001529B2"/>
    <w:rsid w:val="00153D95"/>
    <w:rsid w:val="00156FD4"/>
    <w:rsid w:val="0016078E"/>
    <w:rsid w:val="00161DD5"/>
    <w:rsid w:val="00162AA8"/>
    <w:rsid w:val="00164650"/>
    <w:rsid w:val="00165A59"/>
    <w:rsid w:val="00167AF4"/>
    <w:rsid w:val="00170525"/>
    <w:rsid w:val="00171BCB"/>
    <w:rsid w:val="00171CA7"/>
    <w:rsid w:val="00171FCD"/>
    <w:rsid w:val="00172659"/>
    <w:rsid w:val="001761E8"/>
    <w:rsid w:val="00176908"/>
    <w:rsid w:val="00176C7A"/>
    <w:rsid w:val="001804B1"/>
    <w:rsid w:val="00180F26"/>
    <w:rsid w:val="00183895"/>
    <w:rsid w:val="00184893"/>
    <w:rsid w:val="00184CB0"/>
    <w:rsid w:val="00185971"/>
    <w:rsid w:val="00190173"/>
    <w:rsid w:val="00191FCC"/>
    <w:rsid w:val="00193C19"/>
    <w:rsid w:val="0019445C"/>
    <w:rsid w:val="0019580D"/>
    <w:rsid w:val="0019614C"/>
    <w:rsid w:val="00196A6A"/>
    <w:rsid w:val="0019776D"/>
    <w:rsid w:val="001A04E8"/>
    <w:rsid w:val="001A04FD"/>
    <w:rsid w:val="001A37A9"/>
    <w:rsid w:val="001A3F3F"/>
    <w:rsid w:val="001A40FA"/>
    <w:rsid w:val="001A4435"/>
    <w:rsid w:val="001A4D11"/>
    <w:rsid w:val="001A634D"/>
    <w:rsid w:val="001A759A"/>
    <w:rsid w:val="001B003E"/>
    <w:rsid w:val="001B08FE"/>
    <w:rsid w:val="001B4579"/>
    <w:rsid w:val="001B5132"/>
    <w:rsid w:val="001B571F"/>
    <w:rsid w:val="001B584E"/>
    <w:rsid w:val="001B79B1"/>
    <w:rsid w:val="001C0064"/>
    <w:rsid w:val="001C0241"/>
    <w:rsid w:val="001C1419"/>
    <w:rsid w:val="001C1BDE"/>
    <w:rsid w:val="001C2A15"/>
    <w:rsid w:val="001C2E8A"/>
    <w:rsid w:val="001C32D0"/>
    <w:rsid w:val="001C371D"/>
    <w:rsid w:val="001C44A9"/>
    <w:rsid w:val="001C5B48"/>
    <w:rsid w:val="001C6090"/>
    <w:rsid w:val="001D08CB"/>
    <w:rsid w:val="001D1F08"/>
    <w:rsid w:val="001D4298"/>
    <w:rsid w:val="001D43E1"/>
    <w:rsid w:val="001D4972"/>
    <w:rsid w:val="001D541F"/>
    <w:rsid w:val="001D6738"/>
    <w:rsid w:val="001E0BD5"/>
    <w:rsid w:val="001E1D85"/>
    <w:rsid w:val="001E26A3"/>
    <w:rsid w:val="001E2B9B"/>
    <w:rsid w:val="001E3BEA"/>
    <w:rsid w:val="001E3FDE"/>
    <w:rsid w:val="001E45DF"/>
    <w:rsid w:val="001E6951"/>
    <w:rsid w:val="001F0CF2"/>
    <w:rsid w:val="001F1804"/>
    <w:rsid w:val="00201E7D"/>
    <w:rsid w:val="00201F26"/>
    <w:rsid w:val="00202559"/>
    <w:rsid w:val="00202FDB"/>
    <w:rsid w:val="00204D56"/>
    <w:rsid w:val="00204DB2"/>
    <w:rsid w:val="00205958"/>
    <w:rsid w:val="0020676E"/>
    <w:rsid w:val="00206C7B"/>
    <w:rsid w:val="00207C8D"/>
    <w:rsid w:val="002101EB"/>
    <w:rsid w:val="002106F2"/>
    <w:rsid w:val="002119D3"/>
    <w:rsid w:val="00211A3F"/>
    <w:rsid w:val="0021416E"/>
    <w:rsid w:val="0021686C"/>
    <w:rsid w:val="0022527E"/>
    <w:rsid w:val="00225AAC"/>
    <w:rsid w:val="00225BEA"/>
    <w:rsid w:val="00225FFB"/>
    <w:rsid w:val="002268E0"/>
    <w:rsid w:val="00227116"/>
    <w:rsid w:val="002369D3"/>
    <w:rsid w:val="00240E33"/>
    <w:rsid w:val="00241750"/>
    <w:rsid w:val="002435A1"/>
    <w:rsid w:val="00244915"/>
    <w:rsid w:val="00246066"/>
    <w:rsid w:val="00246709"/>
    <w:rsid w:val="002467E8"/>
    <w:rsid w:val="0025157C"/>
    <w:rsid w:val="0025476E"/>
    <w:rsid w:val="00260190"/>
    <w:rsid w:val="002608D5"/>
    <w:rsid w:val="00261532"/>
    <w:rsid w:val="002621C4"/>
    <w:rsid w:val="002623EC"/>
    <w:rsid w:val="0026566C"/>
    <w:rsid w:val="00270D07"/>
    <w:rsid w:val="002731A5"/>
    <w:rsid w:val="002738DF"/>
    <w:rsid w:val="00273BE1"/>
    <w:rsid w:val="00274E8C"/>
    <w:rsid w:val="00276BA1"/>
    <w:rsid w:val="00277868"/>
    <w:rsid w:val="00277A79"/>
    <w:rsid w:val="00280ED8"/>
    <w:rsid w:val="002835EB"/>
    <w:rsid w:val="0028497C"/>
    <w:rsid w:val="00287821"/>
    <w:rsid w:val="002919C1"/>
    <w:rsid w:val="00292729"/>
    <w:rsid w:val="00293732"/>
    <w:rsid w:val="00295A74"/>
    <w:rsid w:val="002A0287"/>
    <w:rsid w:val="002A1832"/>
    <w:rsid w:val="002A2D24"/>
    <w:rsid w:val="002A3590"/>
    <w:rsid w:val="002A3AB7"/>
    <w:rsid w:val="002B0B7C"/>
    <w:rsid w:val="002B3E38"/>
    <w:rsid w:val="002B45DC"/>
    <w:rsid w:val="002B5FB8"/>
    <w:rsid w:val="002C168A"/>
    <w:rsid w:val="002C3935"/>
    <w:rsid w:val="002C7892"/>
    <w:rsid w:val="002D3F97"/>
    <w:rsid w:val="002D78B0"/>
    <w:rsid w:val="002E0107"/>
    <w:rsid w:val="002E03D7"/>
    <w:rsid w:val="002E16AE"/>
    <w:rsid w:val="002E41FD"/>
    <w:rsid w:val="002F2CAD"/>
    <w:rsid w:val="002F2DA8"/>
    <w:rsid w:val="00301984"/>
    <w:rsid w:val="00302264"/>
    <w:rsid w:val="00304031"/>
    <w:rsid w:val="00304528"/>
    <w:rsid w:val="003059DB"/>
    <w:rsid w:val="00311BFA"/>
    <w:rsid w:val="00313191"/>
    <w:rsid w:val="00314602"/>
    <w:rsid w:val="0031508B"/>
    <w:rsid w:val="00316F13"/>
    <w:rsid w:val="00320888"/>
    <w:rsid w:val="003210D9"/>
    <w:rsid w:val="00321292"/>
    <w:rsid w:val="003217D2"/>
    <w:rsid w:val="00322304"/>
    <w:rsid w:val="003227B0"/>
    <w:rsid w:val="00323288"/>
    <w:rsid w:val="003239FD"/>
    <w:rsid w:val="00323F01"/>
    <w:rsid w:val="00324AD8"/>
    <w:rsid w:val="00325A6F"/>
    <w:rsid w:val="00326B05"/>
    <w:rsid w:val="00327FA0"/>
    <w:rsid w:val="0033148C"/>
    <w:rsid w:val="00333E5C"/>
    <w:rsid w:val="003348CF"/>
    <w:rsid w:val="003363D3"/>
    <w:rsid w:val="00336459"/>
    <w:rsid w:val="00336C05"/>
    <w:rsid w:val="00340C76"/>
    <w:rsid w:val="00341B92"/>
    <w:rsid w:val="003454F8"/>
    <w:rsid w:val="0034579F"/>
    <w:rsid w:val="0034678E"/>
    <w:rsid w:val="00352501"/>
    <w:rsid w:val="00355259"/>
    <w:rsid w:val="00357937"/>
    <w:rsid w:val="003603E9"/>
    <w:rsid w:val="00361374"/>
    <w:rsid w:val="003636A6"/>
    <w:rsid w:val="00363E3F"/>
    <w:rsid w:val="0036732C"/>
    <w:rsid w:val="00370A65"/>
    <w:rsid w:val="0037238A"/>
    <w:rsid w:val="003724AC"/>
    <w:rsid w:val="00374998"/>
    <w:rsid w:val="00375D2B"/>
    <w:rsid w:val="00376B9E"/>
    <w:rsid w:val="00385AAE"/>
    <w:rsid w:val="00386254"/>
    <w:rsid w:val="00386A99"/>
    <w:rsid w:val="003874C8"/>
    <w:rsid w:val="003877F1"/>
    <w:rsid w:val="003916CA"/>
    <w:rsid w:val="00392BD7"/>
    <w:rsid w:val="00397328"/>
    <w:rsid w:val="003A0587"/>
    <w:rsid w:val="003A245D"/>
    <w:rsid w:val="003A3DE4"/>
    <w:rsid w:val="003A3EFC"/>
    <w:rsid w:val="003A4A4F"/>
    <w:rsid w:val="003A5CE8"/>
    <w:rsid w:val="003A6642"/>
    <w:rsid w:val="003B102C"/>
    <w:rsid w:val="003B10B9"/>
    <w:rsid w:val="003B2A1F"/>
    <w:rsid w:val="003B3773"/>
    <w:rsid w:val="003B5340"/>
    <w:rsid w:val="003C3284"/>
    <w:rsid w:val="003C3AA5"/>
    <w:rsid w:val="003C3FF1"/>
    <w:rsid w:val="003C4471"/>
    <w:rsid w:val="003C7D62"/>
    <w:rsid w:val="003D27A5"/>
    <w:rsid w:val="003D500F"/>
    <w:rsid w:val="003E11F9"/>
    <w:rsid w:val="003E52E6"/>
    <w:rsid w:val="003E5481"/>
    <w:rsid w:val="003E54F3"/>
    <w:rsid w:val="003E5746"/>
    <w:rsid w:val="003E61C8"/>
    <w:rsid w:val="003E6689"/>
    <w:rsid w:val="003E7989"/>
    <w:rsid w:val="003F30F5"/>
    <w:rsid w:val="003F4240"/>
    <w:rsid w:val="003F6AC2"/>
    <w:rsid w:val="003F7224"/>
    <w:rsid w:val="0040152E"/>
    <w:rsid w:val="00401A0A"/>
    <w:rsid w:val="004020AD"/>
    <w:rsid w:val="004030A3"/>
    <w:rsid w:val="00404404"/>
    <w:rsid w:val="00405D8C"/>
    <w:rsid w:val="00406D19"/>
    <w:rsid w:val="00412B74"/>
    <w:rsid w:val="00413D11"/>
    <w:rsid w:val="00414857"/>
    <w:rsid w:val="00414884"/>
    <w:rsid w:val="00417ED3"/>
    <w:rsid w:val="00422D68"/>
    <w:rsid w:val="00425288"/>
    <w:rsid w:val="00425578"/>
    <w:rsid w:val="00425691"/>
    <w:rsid w:val="00431C91"/>
    <w:rsid w:val="004341F8"/>
    <w:rsid w:val="0043621F"/>
    <w:rsid w:val="00436F34"/>
    <w:rsid w:val="004403FA"/>
    <w:rsid w:val="00440526"/>
    <w:rsid w:val="00443B6C"/>
    <w:rsid w:val="00444FE3"/>
    <w:rsid w:val="004450D7"/>
    <w:rsid w:val="00450A56"/>
    <w:rsid w:val="00452F14"/>
    <w:rsid w:val="00453C47"/>
    <w:rsid w:val="0045489C"/>
    <w:rsid w:val="004561AE"/>
    <w:rsid w:val="0046071D"/>
    <w:rsid w:val="0046142C"/>
    <w:rsid w:val="00463F9F"/>
    <w:rsid w:val="00464C3A"/>
    <w:rsid w:val="00465E98"/>
    <w:rsid w:val="00466134"/>
    <w:rsid w:val="00467367"/>
    <w:rsid w:val="0047134D"/>
    <w:rsid w:val="0047661B"/>
    <w:rsid w:val="00483018"/>
    <w:rsid w:val="00483CAF"/>
    <w:rsid w:val="004842B7"/>
    <w:rsid w:val="00491524"/>
    <w:rsid w:val="0049285D"/>
    <w:rsid w:val="00492D32"/>
    <w:rsid w:val="00493C40"/>
    <w:rsid w:val="004941FC"/>
    <w:rsid w:val="00494933"/>
    <w:rsid w:val="00495F5E"/>
    <w:rsid w:val="00497CD2"/>
    <w:rsid w:val="004A2F5D"/>
    <w:rsid w:val="004A5226"/>
    <w:rsid w:val="004A549E"/>
    <w:rsid w:val="004A585A"/>
    <w:rsid w:val="004A59BA"/>
    <w:rsid w:val="004A6AA9"/>
    <w:rsid w:val="004A72BA"/>
    <w:rsid w:val="004B1271"/>
    <w:rsid w:val="004B2531"/>
    <w:rsid w:val="004B2E9E"/>
    <w:rsid w:val="004B3C76"/>
    <w:rsid w:val="004B685D"/>
    <w:rsid w:val="004B79B4"/>
    <w:rsid w:val="004C1336"/>
    <w:rsid w:val="004C30E9"/>
    <w:rsid w:val="004C3CD2"/>
    <w:rsid w:val="004C4E8B"/>
    <w:rsid w:val="004C6096"/>
    <w:rsid w:val="004D5A7B"/>
    <w:rsid w:val="004D5B1D"/>
    <w:rsid w:val="004D63E0"/>
    <w:rsid w:val="004D697B"/>
    <w:rsid w:val="004D7D32"/>
    <w:rsid w:val="004E5A4F"/>
    <w:rsid w:val="004E7B10"/>
    <w:rsid w:val="004F52A9"/>
    <w:rsid w:val="004F5C97"/>
    <w:rsid w:val="00500F05"/>
    <w:rsid w:val="0050428A"/>
    <w:rsid w:val="00505D63"/>
    <w:rsid w:val="0051243B"/>
    <w:rsid w:val="005125BA"/>
    <w:rsid w:val="005131E9"/>
    <w:rsid w:val="005148CF"/>
    <w:rsid w:val="00515766"/>
    <w:rsid w:val="005159AC"/>
    <w:rsid w:val="00520777"/>
    <w:rsid w:val="005254CA"/>
    <w:rsid w:val="00525667"/>
    <w:rsid w:val="00526BDB"/>
    <w:rsid w:val="00530DAA"/>
    <w:rsid w:val="0053151A"/>
    <w:rsid w:val="00533BA6"/>
    <w:rsid w:val="005342DE"/>
    <w:rsid w:val="00534BB1"/>
    <w:rsid w:val="00534F3A"/>
    <w:rsid w:val="00535D25"/>
    <w:rsid w:val="00536D86"/>
    <w:rsid w:val="0053772A"/>
    <w:rsid w:val="00540923"/>
    <w:rsid w:val="0054190C"/>
    <w:rsid w:val="00542108"/>
    <w:rsid w:val="00542E3D"/>
    <w:rsid w:val="005433A8"/>
    <w:rsid w:val="005445ED"/>
    <w:rsid w:val="005455AF"/>
    <w:rsid w:val="005508B9"/>
    <w:rsid w:val="0055155F"/>
    <w:rsid w:val="00551681"/>
    <w:rsid w:val="00552213"/>
    <w:rsid w:val="0055341B"/>
    <w:rsid w:val="00553F6C"/>
    <w:rsid w:val="00563313"/>
    <w:rsid w:val="00564CE7"/>
    <w:rsid w:val="0056543C"/>
    <w:rsid w:val="00566073"/>
    <w:rsid w:val="00566584"/>
    <w:rsid w:val="00566F2F"/>
    <w:rsid w:val="00572D5B"/>
    <w:rsid w:val="00575640"/>
    <w:rsid w:val="005808FF"/>
    <w:rsid w:val="00581ADC"/>
    <w:rsid w:val="00584A58"/>
    <w:rsid w:val="0058540F"/>
    <w:rsid w:val="005861FD"/>
    <w:rsid w:val="005863E4"/>
    <w:rsid w:val="00586474"/>
    <w:rsid w:val="00586BA9"/>
    <w:rsid w:val="0059130C"/>
    <w:rsid w:val="00591679"/>
    <w:rsid w:val="00593A10"/>
    <w:rsid w:val="00594A3A"/>
    <w:rsid w:val="00594AFF"/>
    <w:rsid w:val="00594CE9"/>
    <w:rsid w:val="0059572B"/>
    <w:rsid w:val="00596AD8"/>
    <w:rsid w:val="00597D4C"/>
    <w:rsid w:val="005A2D03"/>
    <w:rsid w:val="005A484D"/>
    <w:rsid w:val="005A4AF4"/>
    <w:rsid w:val="005A5CFF"/>
    <w:rsid w:val="005B0BBC"/>
    <w:rsid w:val="005B1F16"/>
    <w:rsid w:val="005B2673"/>
    <w:rsid w:val="005B26E5"/>
    <w:rsid w:val="005B4F98"/>
    <w:rsid w:val="005B53DD"/>
    <w:rsid w:val="005B5861"/>
    <w:rsid w:val="005B5CFE"/>
    <w:rsid w:val="005B5DEE"/>
    <w:rsid w:val="005C0215"/>
    <w:rsid w:val="005C03B0"/>
    <w:rsid w:val="005C059A"/>
    <w:rsid w:val="005C0C4E"/>
    <w:rsid w:val="005C0CDA"/>
    <w:rsid w:val="005C558F"/>
    <w:rsid w:val="005D07F3"/>
    <w:rsid w:val="005D0908"/>
    <w:rsid w:val="005D7264"/>
    <w:rsid w:val="005D7E3F"/>
    <w:rsid w:val="005E078D"/>
    <w:rsid w:val="005E1CCD"/>
    <w:rsid w:val="005E2B89"/>
    <w:rsid w:val="005F1CA8"/>
    <w:rsid w:val="005F2746"/>
    <w:rsid w:val="005F2FB1"/>
    <w:rsid w:val="005F43AD"/>
    <w:rsid w:val="005F5E3D"/>
    <w:rsid w:val="005F7DEF"/>
    <w:rsid w:val="00600570"/>
    <w:rsid w:val="00604D0C"/>
    <w:rsid w:val="00606096"/>
    <w:rsid w:val="00606E2F"/>
    <w:rsid w:val="00611D36"/>
    <w:rsid w:val="00614A99"/>
    <w:rsid w:val="00617426"/>
    <w:rsid w:val="00617823"/>
    <w:rsid w:val="00621CA0"/>
    <w:rsid w:val="00622FD5"/>
    <w:rsid w:val="00627512"/>
    <w:rsid w:val="00627DC6"/>
    <w:rsid w:val="00632ADE"/>
    <w:rsid w:val="006377A0"/>
    <w:rsid w:val="00640B23"/>
    <w:rsid w:val="0064172A"/>
    <w:rsid w:val="006418EF"/>
    <w:rsid w:val="006435C6"/>
    <w:rsid w:val="006451CB"/>
    <w:rsid w:val="00645E3A"/>
    <w:rsid w:val="006478DF"/>
    <w:rsid w:val="006479D2"/>
    <w:rsid w:val="00653548"/>
    <w:rsid w:val="006542A4"/>
    <w:rsid w:val="00656C46"/>
    <w:rsid w:val="00656E82"/>
    <w:rsid w:val="00663966"/>
    <w:rsid w:val="00670E12"/>
    <w:rsid w:val="006729E2"/>
    <w:rsid w:val="00673BC3"/>
    <w:rsid w:val="00676E1F"/>
    <w:rsid w:val="00677754"/>
    <w:rsid w:val="006808CC"/>
    <w:rsid w:val="00682489"/>
    <w:rsid w:val="0068377E"/>
    <w:rsid w:val="0068536A"/>
    <w:rsid w:val="00685370"/>
    <w:rsid w:val="0068574E"/>
    <w:rsid w:val="006901E8"/>
    <w:rsid w:val="006932B9"/>
    <w:rsid w:val="006949A5"/>
    <w:rsid w:val="0069521F"/>
    <w:rsid w:val="006953AE"/>
    <w:rsid w:val="0069557D"/>
    <w:rsid w:val="00696E1E"/>
    <w:rsid w:val="006A2DD2"/>
    <w:rsid w:val="006A30C7"/>
    <w:rsid w:val="006B1229"/>
    <w:rsid w:val="006B35C8"/>
    <w:rsid w:val="006B4FBF"/>
    <w:rsid w:val="006B5E1E"/>
    <w:rsid w:val="006C0B48"/>
    <w:rsid w:val="006C3C0E"/>
    <w:rsid w:val="006C45E9"/>
    <w:rsid w:val="006C4B93"/>
    <w:rsid w:val="006D07A5"/>
    <w:rsid w:val="006D2AC6"/>
    <w:rsid w:val="006D3D1E"/>
    <w:rsid w:val="006D61DE"/>
    <w:rsid w:val="006D681E"/>
    <w:rsid w:val="006D6997"/>
    <w:rsid w:val="006D76A8"/>
    <w:rsid w:val="006E2C34"/>
    <w:rsid w:val="006E33AF"/>
    <w:rsid w:val="006E4337"/>
    <w:rsid w:val="006E599B"/>
    <w:rsid w:val="006F215E"/>
    <w:rsid w:val="006F37D0"/>
    <w:rsid w:val="006F5FB3"/>
    <w:rsid w:val="006F7A91"/>
    <w:rsid w:val="00700214"/>
    <w:rsid w:val="00700C4B"/>
    <w:rsid w:val="00701195"/>
    <w:rsid w:val="00701637"/>
    <w:rsid w:val="00701FB4"/>
    <w:rsid w:val="007027F7"/>
    <w:rsid w:val="0070664E"/>
    <w:rsid w:val="00706B42"/>
    <w:rsid w:val="00706CC8"/>
    <w:rsid w:val="007113FB"/>
    <w:rsid w:val="00714EDE"/>
    <w:rsid w:val="00715418"/>
    <w:rsid w:val="00716FF3"/>
    <w:rsid w:val="0072280C"/>
    <w:rsid w:val="007233B4"/>
    <w:rsid w:val="00723509"/>
    <w:rsid w:val="00724E80"/>
    <w:rsid w:val="0073051C"/>
    <w:rsid w:val="00730ACE"/>
    <w:rsid w:val="007354F4"/>
    <w:rsid w:val="00735C72"/>
    <w:rsid w:val="0073681A"/>
    <w:rsid w:val="00737D6B"/>
    <w:rsid w:val="00740DC0"/>
    <w:rsid w:val="00742CAC"/>
    <w:rsid w:val="00743345"/>
    <w:rsid w:val="0074387F"/>
    <w:rsid w:val="00746506"/>
    <w:rsid w:val="00747704"/>
    <w:rsid w:val="00750403"/>
    <w:rsid w:val="00752A65"/>
    <w:rsid w:val="00755568"/>
    <w:rsid w:val="00755A38"/>
    <w:rsid w:val="00764C47"/>
    <w:rsid w:val="00766A4F"/>
    <w:rsid w:val="00767023"/>
    <w:rsid w:val="0076799D"/>
    <w:rsid w:val="00767C95"/>
    <w:rsid w:val="00767D3F"/>
    <w:rsid w:val="007736AF"/>
    <w:rsid w:val="00775F54"/>
    <w:rsid w:val="00776A9E"/>
    <w:rsid w:val="0078578D"/>
    <w:rsid w:val="00786DC5"/>
    <w:rsid w:val="007874D4"/>
    <w:rsid w:val="0078773A"/>
    <w:rsid w:val="00787EB3"/>
    <w:rsid w:val="00790999"/>
    <w:rsid w:val="00794D78"/>
    <w:rsid w:val="007A0D33"/>
    <w:rsid w:val="007A4B62"/>
    <w:rsid w:val="007A670B"/>
    <w:rsid w:val="007A6ACF"/>
    <w:rsid w:val="007A6FBC"/>
    <w:rsid w:val="007A73D9"/>
    <w:rsid w:val="007A7B23"/>
    <w:rsid w:val="007B2D6A"/>
    <w:rsid w:val="007B46E7"/>
    <w:rsid w:val="007B4C5C"/>
    <w:rsid w:val="007B68EF"/>
    <w:rsid w:val="007C0704"/>
    <w:rsid w:val="007C1B96"/>
    <w:rsid w:val="007C4A55"/>
    <w:rsid w:val="007C6FC4"/>
    <w:rsid w:val="007C7957"/>
    <w:rsid w:val="007D018E"/>
    <w:rsid w:val="007D183C"/>
    <w:rsid w:val="007D1FEA"/>
    <w:rsid w:val="007D4426"/>
    <w:rsid w:val="007D6D45"/>
    <w:rsid w:val="007D7596"/>
    <w:rsid w:val="007E30AD"/>
    <w:rsid w:val="007F040F"/>
    <w:rsid w:val="007F2DA5"/>
    <w:rsid w:val="007F3533"/>
    <w:rsid w:val="007F6D74"/>
    <w:rsid w:val="00800998"/>
    <w:rsid w:val="00802F8A"/>
    <w:rsid w:val="008038E6"/>
    <w:rsid w:val="008070BA"/>
    <w:rsid w:val="008116CE"/>
    <w:rsid w:val="00812150"/>
    <w:rsid w:val="00812863"/>
    <w:rsid w:val="00812EC2"/>
    <w:rsid w:val="00814723"/>
    <w:rsid w:val="00814E60"/>
    <w:rsid w:val="00815A8F"/>
    <w:rsid w:val="00816456"/>
    <w:rsid w:val="00817F3B"/>
    <w:rsid w:val="00821320"/>
    <w:rsid w:val="008236F9"/>
    <w:rsid w:val="008243B6"/>
    <w:rsid w:val="00824A41"/>
    <w:rsid w:val="008261BC"/>
    <w:rsid w:val="00826F93"/>
    <w:rsid w:val="00832116"/>
    <w:rsid w:val="0083584E"/>
    <w:rsid w:val="00835A34"/>
    <w:rsid w:val="008379D3"/>
    <w:rsid w:val="00837AC2"/>
    <w:rsid w:val="00845FB3"/>
    <w:rsid w:val="008467B8"/>
    <w:rsid w:val="00852B7D"/>
    <w:rsid w:val="00853EC0"/>
    <w:rsid w:val="00855C86"/>
    <w:rsid w:val="0085688E"/>
    <w:rsid w:val="008601BA"/>
    <w:rsid w:val="008627F6"/>
    <w:rsid w:val="00863881"/>
    <w:rsid w:val="00864DCC"/>
    <w:rsid w:val="00867592"/>
    <w:rsid w:val="00871F0B"/>
    <w:rsid w:val="0087283A"/>
    <w:rsid w:val="00873049"/>
    <w:rsid w:val="00876C6E"/>
    <w:rsid w:val="00880605"/>
    <w:rsid w:val="00881E6B"/>
    <w:rsid w:val="00883D7D"/>
    <w:rsid w:val="008862B6"/>
    <w:rsid w:val="008862BA"/>
    <w:rsid w:val="00890992"/>
    <w:rsid w:val="00891086"/>
    <w:rsid w:val="008911FF"/>
    <w:rsid w:val="00891C52"/>
    <w:rsid w:val="00892B9F"/>
    <w:rsid w:val="00893E0E"/>
    <w:rsid w:val="00894070"/>
    <w:rsid w:val="008949B5"/>
    <w:rsid w:val="008965DC"/>
    <w:rsid w:val="00897061"/>
    <w:rsid w:val="00897AC1"/>
    <w:rsid w:val="008A2A66"/>
    <w:rsid w:val="008A3769"/>
    <w:rsid w:val="008A443F"/>
    <w:rsid w:val="008A6225"/>
    <w:rsid w:val="008A6933"/>
    <w:rsid w:val="008B02A4"/>
    <w:rsid w:val="008B0419"/>
    <w:rsid w:val="008B0823"/>
    <w:rsid w:val="008B09DB"/>
    <w:rsid w:val="008B3C40"/>
    <w:rsid w:val="008B4290"/>
    <w:rsid w:val="008B4C98"/>
    <w:rsid w:val="008B5AA3"/>
    <w:rsid w:val="008B61C2"/>
    <w:rsid w:val="008C3894"/>
    <w:rsid w:val="008C4C9B"/>
    <w:rsid w:val="008C501F"/>
    <w:rsid w:val="008C769E"/>
    <w:rsid w:val="008D044F"/>
    <w:rsid w:val="008D28E5"/>
    <w:rsid w:val="008D306C"/>
    <w:rsid w:val="008D3B5F"/>
    <w:rsid w:val="008D5582"/>
    <w:rsid w:val="008E1CA5"/>
    <w:rsid w:val="008E7AC5"/>
    <w:rsid w:val="008E7EAC"/>
    <w:rsid w:val="008F0377"/>
    <w:rsid w:val="008F0504"/>
    <w:rsid w:val="008F1D5F"/>
    <w:rsid w:val="008F7582"/>
    <w:rsid w:val="00900E3D"/>
    <w:rsid w:val="00903C6F"/>
    <w:rsid w:val="00905509"/>
    <w:rsid w:val="0090628A"/>
    <w:rsid w:val="00906441"/>
    <w:rsid w:val="0090718C"/>
    <w:rsid w:val="009075D8"/>
    <w:rsid w:val="00913BDE"/>
    <w:rsid w:val="00913F6E"/>
    <w:rsid w:val="0091470C"/>
    <w:rsid w:val="0091536D"/>
    <w:rsid w:val="009165DB"/>
    <w:rsid w:val="00917A80"/>
    <w:rsid w:val="00926B96"/>
    <w:rsid w:val="00930F48"/>
    <w:rsid w:val="00931F01"/>
    <w:rsid w:val="00932D01"/>
    <w:rsid w:val="00933616"/>
    <w:rsid w:val="00935044"/>
    <w:rsid w:val="009408DE"/>
    <w:rsid w:val="00941485"/>
    <w:rsid w:val="009418D5"/>
    <w:rsid w:val="00941C62"/>
    <w:rsid w:val="009420A4"/>
    <w:rsid w:val="00943696"/>
    <w:rsid w:val="0094602B"/>
    <w:rsid w:val="00951FE9"/>
    <w:rsid w:val="009525C7"/>
    <w:rsid w:val="00953005"/>
    <w:rsid w:val="009533AD"/>
    <w:rsid w:val="00957998"/>
    <w:rsid w:val="00960C0B"/>
    <w:rsid w:val="00962DAC"/>
    <w:rsid w:val="009630D5"/>
    <w:rsid w:val="009650DB"/>
    <w:rsid w:val="00966906"/>
    <w:rsid w:val="00967373"/>
    <w:rsid w:val="009679C6"/>
    <w:rsid w:val="00971D89"/>
    <w:rsid w:val="00971ED2"/>
    <w:rsid w:val="009801C9"/>
    <w:rsid w:val="0098101E"/>
    <w:rsid w:val="009819E1"/>
    <w:rsid w:val="00984831"/>
    <w:rsid w:val="0098540D"/>
    <w:rsid w:val="00985502"/>
    <w:rsid w:val="00985BE4"/>
    <w:rsid w:val="0098712A"/>
    <w:rsid w:val="00987AE3"/>
    <w:rsid w:val="009917B1"/>
    <w:rsid w:val="00992F9A"/>
    <w:rsid w:val="00995E0B"/>
    <w:rsid w:val="009969F3"/>
    <w:rsid w:val="009A1FED"/>
    <w:rsid w:val="009A27E5"/>
    <w:rsid w:val="009A2846"/>
    <w:rsid w:val="009A353A"/>
    <w:rsid w:val="009A3911"/>
    <w:rsid w:val="009A5A7F"/>
    <w:rsid w:val="009B057A"/>
    <w:rsid w:val="009B140D"/>
    <w:rsid w:val="009B1D8F"/>
    <w:rsid w:val="009B2154"/>
    <w:rsid w:val="009B269A"/>
    <w:rsid w:val="009B65DC"/>
    <w:rsid w:val="009B6D8B"/>
    <w:rsid w:val="009B7E57"/>
    <w:rsid w:val="009C129E"/>
    <w:rsid w:val="009C147E"/>
    <w:rsid w:val="009C19AD"/>
    <w:rsid w:val="009C2AEE"/>
    <w:rsid w:val="009C3187"/>
    <w:rsid w:val="009C3BD9"/>
    <w:rsid w:val="009C4E57"/>
    <w:rsid w:val="009C694F"/>
    <w:rsid w:val="009C7987"/>
    <w:rsid w:val="009D23DB"/>
    <w:rsid w:val="009D5566"/>
    <w:rsid w:val="009E612B"/>
    <w:rsid w:val="009E7AA5"/>
    <w:rsid w:val="009F09C9"/>
    <w:rsid w:val="009F46C4"/>
    <w:rsid w:val="009F563F"/>
    <w:rsid w:val="009F6D3D"/>
    <w:rsid w:val="009F7340"/>
    <w:rsid w:val="009F7B6F"/>
    <w:rsid w:val="00A01474"/>
    <w:rsid w:val="00A01848"/>
    <w:rsid w:val="00A0190C"/>
    <w:rsid w:val="00A028BF"/>
    <w:rsid w:val="00A03640"/>
    <w:rsid w:val="00A03BA6"/>
    <w:rsid w:val="00A044CC"/>
    <w:rsid w:val="00A058E4"/>
    <w:rsid w:val="00A06237"/>
    <w:rsid w:val="00A06AC3"/>
    <w:rsid w:val="00A12ACC"/>
    <w:rsid w:val="00A1798E"/>
    <w:rsid w:val="00A20963"/>
    <w:rsid w:val="00A20EFB"/>
    <w:rsid w:val="00A23E80"/>
    <w:rsid w:val="00A247E2"/>
    <w:rsid w:val="00A24DAE"/>
    <w:rsid w:val="00A262CA"/>
    <w:rsid w:val="00A26662"/>
    <w:rsid w:val="00A31136"/>
    <w:rsid w:val="00A31C5E"/>
    <w:rsid w:val="00A32C78"/>
    <w:rsid w:val="00A3552A"/>
    <w:rsid w:val="00A35D8D"/>
    <w:rsid w:val="00A36154"/>
    <w:rsid w:val="00A37D4B"/>
    <w:rsid w:val="00A43080"/>
    <w:rsid w:val="00A43429"/>
    <w:rsid w:val="00A43B8F"/>
    <w:rsid w:val="00A44DC2"/>
    <w:rsid w:val="00A5120C"/>
    <w:rsid w:val="00A52002"/>
    <w:rsid w:val="00A53F67"/>
    <w:rsid w:val="00A55F92"/>
    <w:rsid w:val="00A56BA1"/>
    <w:rsid w:val="00A57991"/>
    <w:rsid w:val="00A579CF"/>
    <w:rsid w:val="00A6532F"/>
    <w:rsid w:val="00A65FFA"/>
    <w:rsid w:val="00A66246"/>
    <w:rsid w:val="00A677F1"/>
    <w:rsid w:val="00A718E6"/>
    <w:rsid w:val="00A730BF"/>
    <w:rsid w:val="00A7428C"/>
    <w:rsid w:val="00A74971"/>
    <w:rsid w:val="00A74FE3"/>
    <w:rsid w:val="00A77041"/>
    <w:rsid w:val="00A77BD7"/>
    <w:rsid w:val="00A80EF5"/>
    <w:rsid w:val="00A81A9F"/>
    <w:rsid w:val="00A83719"/>
    <w:rsid w:val="00A863E6"/>
    <w:rsid w:val="00A92784"/>
    <w:rsid w:val="00A93D44"/>
    <w:rsid w:val="00A95789"/>
    <w:rsid w:val="00A9634B"/>
    <w:rsid w:val="00A96B21"/>
    <w:rsid w:val="00A97429"/>
    <w:rsid w:val="00A97804"/>
    <w:rsid w:val="00AA1688"/>
    <w:rsid w:val="00AA28CA"/>
    <w:rsid w:val="00AA31E7"/>
    <w:rsid w:val="00AA3B13"/>
    <w:rsid w:val="00AA47C4"/>
    <w:rsid w:val="00AA5EBA"/>
    <w:rsid w:val="00AA6796"/>
    <w:rsid w:val="00AA6D22"/>
    <w:rsid w:val="00AA7461"/>
    <w:rsid w:val="00AB2233"/>
    <w:rsid w:val="00AB316E"/>
    <w:rsid w:val="00AB3962"/>
    <w:rsid w:val="00AB4182"/>
    <w:rsid w:val="00AB5FC3"/>
    <w:rsid w:val="00AB7627"/>
    <w:rsid w:val="00AC05DD"/>
    <w:rsid w:val="00AC176B"/>
    <w:rsid w:val="00AC2DB4"/>
    <w:rsid w:val="00AC4969"/>
    <w:rsid w:val="00AC6899"/>
    <w:rsid w:val="00AC6D87"/>
    <w:rsid w:val="00AC7C78"/>
    <w:rsid w:val="00AD0439"/>
    <w:rsid w:val="00AD0AA4"/>
    <w:rsid w:val="00AD1C91"/>
    <w:rsid w:val="00AD5E60"/>
    <w:rsid w:val="00AD6C58"/>
    <w:rsid w:val="00AD742E"/>
    <w:rsid w:val="00AE1228"/>
    <w:rsid w:val="00AE1378"/>
    <w:rsid w:val="00AF030E"/>
    <w:rsid w:val="00AF0D58"/>
    <w:rsid w:val="00AF1FF4"/>
    <w:rsid w:val="00AF69C3"/>
    <w:rsid w:val="00AF6A35"/>
    <w:rsid w:val="00B00741"/>
    <w:rsid w:val="00B012A0"/>
    <w:rsid w:val="00B04A18"/>
    <w:rsid w:val="00B05F53"/>
    <w:rsid w:val="00B062B8"/>
    <w:rsid w:val="00B06C5F"/>
    <w:rsid w:val="00B06DAC"/>
    <w:rsid w:val="00B0758E"/>
    <w:rsid w:val="00B1024B"/>
    <w:rsid w:val="00B107D9"/>
    <w:rsid w:val="00B1198C"/>
    <w:rsid w:val="00B12A16"/>
    <w:rsid w:val="00B136FA"/>
    <w:rsid w:val="00B144BF"/>
    <w:rsid w:val="00B145EC"/>
    <w:rsid w:val="00B2022F"/>
    <w:rsid w:val="00B220DD"/>
    <w:rsid w:val="00B25B99"/>
    <w:rsid w:val="00B26B68"/>
    <w:rsid w:val="00B26E0E"/>
    <w:rsid w:val="00B30105"/>
    <w:rsid w:val="00B33533"/>
    <w:rsid w:val="00B34A8E"/>
    <w:rsid w:val="00B3784A"/>
    <w:rsid w:val="00B4079D"/>
    <w:rsid w:val="00B41AB3"/>
    <w:rsid w:val="00B459F4"/>
    <w:rsid w:val="00B4713C"/>
    <w:rsid w:val="00B4717A"/>
    <w:rsid w:val="00B47D6F"/>
    <w:rsid w:val="00B514A2"/>
    <w:rsid w:val="00B54467"/>
    <w:rsid w:val="00B54C1B"/>
    <w:rsid w:val="00B5786E"/>
    <w:rsid w:val="00B57885"/>
    <w:rsid w:val="00B57F1E"/>
    <w:rsid w:val="00B60D05"/>
    <w:rsid w:val="00B61ED1"/>
    <w:rsid w:val="00B63F5C"/>
    <w:rsid w:val="00B648BA"/>
    <w:rsid w:val="00B70642"/>
    <w:rsid w:val="00B70896"/>
    <w:rsid w:val="00B715B1"/>
    <w:rsid w:val="00B75896"/>
    <w:rsid w:val="00B821A1"/>
    <w:rsid w:val="00B840D8"/>
    <w:rsid w:val="00B8502D"/>
    <w:rsid w:val="00B862F3"/>
    <w:rsid w:val="00B87F29"/>
    <w:rsid w:val="00B91E22"/>
    <w:rsid w:val="00B936D5"/>
    <w:rsid w:val="00B94C92"/>
    <w:rsid w:val="00B97D16"/>
    <w:rsid w:val="00BA20A2"/>
    <w:rsid w:val="00BA2D77"/>
    <w:rsid w:val="00BA530A"/>
    <w:rsid w:val="00BA6A25"/>
    <w:rsid w:val="00BA7BF8"/>
    <w:rsid w:val="00BB0BBC"/>
    <w:rsid w:val="00BB10B9"/>
    <w:rsid w:val="00BB1C6E"/>
    <w:rsid w:val="00BB2544"/>
    <w:rsid w:val="00BB6505"/>
    <w:rsid w:val="00BB6E79"/>
    <w:rsid w:val="00BC05B2"/>
    <w:rsid w:val="00BC0A8A"/>
    <w:rsid w:val="00BC43F0"/>
    <w:rsid w:val="00BC664E"/>
    <w:rsid w:val="00BC7BAE"/>
    <w:rsid w:val="00BD1BC7"/>
    <w:rsid w:val="00BD311E"/>
    <w:rsid w:val="00BD3FA3"/>
    <w:rsid w:val="00BD61FB"/>
    <w:rsid w:val="00BD7D98"/>
    <w:rsid w:val="00BE0C25"/>
    <w:rsid w:val="00BE1DCA"/>
    <w:rsid w:val="00BE1F6B"/>
    <w:rsid w:val="00BE22BE"/>
    <w:rsid w:val="00BE3603"/>
    <w:rsid w:val="00BE3DFD"/>
    <w:rsid w:val="00BE4BA3"/>
    <w:rsid w:val="00BE5C4A"/>
    <w:rsid w:val="00BE6725"/>
    <w:rsid w:val="00BF2C47"/>
    <w:rsid w:val="00BF6659"/>
    <w:rsid w:val="00BF7489"/>
    <w:rsid w:val="00C003BF"/>
    <w:rsid w:val="00C02AD7"/>
    <w:rsid w:val="00C04F67"/>
    <w:rsid w:val="00C06209"/>
    <w:rsid w:val="00C10AAE"/>
    <w:rsid w:val="00C10DFC"/>
    <w:rsid w:val="00C127B6"/>
    <w:rsid w:val="00C13653"/>
    <w:rsid w:val="00C17288"/>
    <w:rsid w:val="00C21DF5"/>
    <w:rsid w:val="00C25ACA"/>
    <w:rsid w:val="00C262F4"/>
    <w:rsid w:val="00C2688C"/>
    <w:rsid w:val="00C27F70"/>
    <w:rsid w:val="00C31104"/>
    <w:rsid w:val="00C31FB5"/>
    <w:rsid w:val="00C32E24"/>
    <w:rsid w:val="00C34398"/>
    <w:rsid w:val="00C343F6"/>
    <w:rsid w:val="00C348BF"/>
    <w:rsid w:val="00C351EA"/>
    <w:rsid w:val="00C356C9"/>
    <w:rsid w:val="00C4026E"/>
    <w:rsid w:val="00C40F94"/>
    <w:rsid w:val="00C445D6"/>
    <w:rsid w:val="00C45DC4"/>
    <w:rsid w:val="00C46A2D"/>
    <w:rsid w:val="00C53F3F"/>
    <w:rsid w:val="00C552D9"/>
    <w:rsid w:val="00C556DA"/>
    <w:rsid w:val="00C60EA6"/>
    <w:rsid w:val="00C65155"/>
    <w:rsid w:val="00C65D6C"/>
    <w:rsid w:val="00C67DF8"/>
    <w:rsid w:val="00C67EF4"/>
    <w:rsid w:val="00C711D6"/>
    <w:rsid w:val="00C71703"/>
    <w:rsid w:val="00C71819"/>
    <w:rsid w:val="00C738F0"/>
    <w:rsid w:val="00C74EC6"/>
    <w:rsid w:val="00C76B67"/>
    <w:rsid w:val="00C802F2"/>
    <w:rsid w:val="00C81DEF"/>
    <w:rsid w:val="00C8206E"/>
    <w:rsid w:val="00C838F1"/>
    <w:rsid w:val="00C8638E"/>
    <w:rsid w:val="00C86D6D"/>
    <w:rsid w:val="00C904E5"/>
    <w:rsid w:val="00C92437"/>
    <w:rsid w:val="00C92C19"/>
    <w:rsid w:val="00C9412E"/>
    <w:rsid w:val="00CA02B1"/>
    <w:rsid w:val="00CA1AB6"/>
    <w:rsid w:val="00CA3142"/>
    <w:rsid w:val="00CA360B"/>
    <w:rsid w:val="00CA4B65"/>
    <w:rsid w:val="00CB04EB"/>
    <w:rsid w:val="00CB1339"/>
    <w:rsid w:val="00CB1EAE"/>
    <w:rsid w:val="00CB234B"/>
    <w:rsid w:val="00CB276A"/>
    <w:rsid w:val="00CB4AAA"/>
    <w:rsid w:val="00CB781F"/>
    <w:rsid w:val="00CC1A3F"/>
    <w:rsid w:val="00CC2249"/>
    <w:rsid w:val="00CC6E43"/>
    <w:rsid w:val="00CD0977"/>
    <w:rsid w:val="00CD0C4F"/>
    <w:rsid w:val="00CD219B"/>
    <w:rsid w:val="00CD38FC"/>
    <w:rsid w:val="00CD447E"/>
    <w:rsid w:val="00CD4670"/>
    <w:rsid w:val="00CD6E71"/>
    <w:rsid w:val="00CD7F6A"/>
    <w:rsid w:val="00CE0099"/>
    <w:rsid w:val="00CE1BE5"/>
    <w:rsid w:val="00CE1CC9"/>
    <w:rsid w:val="00CE1EA7"/>
    <w:rsid w:val="00CE3446"/>
    <w:rsid w:val="00CE34B5"/>
    <w:rsid w:val="00CE4E13"/>
    <w:rsid w:val="00CE614F"/>
    <w:rsid w:val="00CE6F7B"/>
    <w:rsid w:val="00CF0448"/>
    <w:rsid w:val="00CF15CE"/>
    <w:rsid w:val="00CF15D8"/>
    <w:rsid w:val="00CF60A3"/>
    <w:rsid w:val="00CF641E"/>
    <w:rsid w:val="00CF7810"/>
    <w:rsid w:val="00D005CB"/>
    <w:rsid w:val="00D01EDB"/>
    <w:rsid w:val="00D03702"/>
    <w:rsid w:val="00D03708"/>
    <w:rsid w:val="00D04309"/>
    <w:rsid w:val="00D061AB"/>
    <w:rsid w:val="00D0665C"/>
    <w:rsid w:val="00D073D9"/>
    <w:rsid w:val="00D11214"/>
    <w:rsid w:val="00D12A14"/>
    <w:rsid w:val="00D14069"/>
    <w:rsid w:val="00D14D8A"/>
    <w:rsid w:val="00D151BD"/>
    <w:rsid w:val="00D15299"/>
    <w:rsid w:val="00D2168F"/>
    <w:rsid w:val="00D25276"/>
    <w:rsid w:val="00D25705"/>
    <w:rsid w:val="00D25AFD"/>
    <w:rsid w:val="00D267A8"/>
    <w:rsid w:val="00D30D59"/>
    <w:rsid w:val="00D32038"/>
    <w:rsid w:val="00D32318"/>
    <w:rsid w:val="00D3267F"/>
    <w:rsid w:val="00D335BE"/>
    <w:rsid w:val="00D356CE"/>
    <w:rsid w:val="00D35E4B"/>
    <w:rsid w:val="00D37F62"/>
    <w:rsid w:val="00D42593"/>
    <w:rsid w:val="00D427C5"/>
    <w:rsid w:val="00D46E78"/>
    <w:rsid w:val="00D547FE"/>
    <w:rsid w:val="00D569B9"/>
    <w:rsid w:val="00D64569"/>
    <w:rsid w:val="00D64797"/>
    <w:rsid w:val="00D64C28"/>
    <w:rsid w:val="00D651B7"/>
    <w:rsid w:val="00D665C1"/>
    <w:rsid w:val="00D6762D"/>
    <w:rsid w:val="00D704E0"/>
    <w:rsid w:val="00D72684"/>
    <w:rsid w:val="00D74290"/>
    <w:rsid w:val="00D7720D"/>
    <w:rsid w:val="00D81B14"/>
    <w:rsid w:val="00D824FD"/>
    <w:rsid w:val="00D92775"/>
    <w:rsid w:val="00D929F5"/>
    <w:rsid w:val="00D94BCD"/>
    <w:rsid w:val="00D97783"/>
    <w:rsid w:val="00DA1B27"/>
    <w:rsid w:val="00DA1F19"/>
    <w:rsid w:val="00DA2523"/>
    <w:rsid w:val="00DA2653"/>
    <w:rsid w:val="00DA3604"/>
    <w:rsid w:val="00DA46FF"/>
    <w:rsid w:val="00DA5D33"/>
    <w:rsid w:val="00DA7116"/>
    <w:rsid w:val="00DB108C"/>
    <w:rsid w:val="00DB215C"/>
    <w:rsid w:val="00DB27E9"/>
    <w:rsid w:val="00DB6027"/>
    <w:rsid w:val="00DB6917"/>
    <w:rsid w:val="00DC12CA"/>
    <w:rsid w:val="00DC1951"/>
    <w:rsid w:val="00DC4645"/>
    <w:rsid w:val="00DC4F71"/>
    <w:rsid w:val="00DD07C5"/>
    <w:rsid w:val="00DD1484"/>
    <w:rsid w:val="00DD1ECD"/>
    <w:rsid w:val="00DD2C08"/>
    <w:rsid w:val="00DD30C0"/>
    <w:rsid w:val="00DD3174"/>
    <w:rsid w:val="00DD4532"/>
    <w:rsid w:val="00DD6618"/>
    <w:rsid w:val="00DE0944"/>
    <w:rsid w:val="00DE0B71"/>
    <w:rsid w:val="00DE180C"/>
    <w:rsid w:val="00DE55B0"/>
    <w:rsid w:val="00DF0853"/>
    <w:rsid w:val="00DF1AD0"/>
    <w:rsid w:val="00DF24A9"/>
    <w:rsid w:val="00DF6050"/>
    <w:rsid w:val="00E0693A"/>
    <w:rsid w:val="00E06C86"/>
    <w:rsid w:val="00E07095"/>
    <w:rsid w:val="00E07A7D"/>
    <w:rsid w:val="00E1021C"/>
    <w:rsid w:val="00E10ED7"/>
    <w:rsid w:val="00E10F65"/>
    <w:rsid w:val="00E122D2"/>
    <w:rsid w:val="00E129C5"/>
    <w:rsid w:val="00E1325F"/>
    <w:rsid w:val="00E1556A"/>
    <w:rsid w:val="00E16153"/>
    <w:rsid w:val="00E22552"/>
    <w:rsid w:val="00E23A6E"/>
    <w:rsid w:val="00E23B21"/>
    <w:rsid w:val="00E24613"/>
    <w:rsid w:val="00E24A1D"/>
    <w:rsid w:val="00E25417"/>
    <w:rsid w:val="00E2700F"/>
    <w:rsid w:val="00E27A7F"/>
    <w:rsid w:val="00E3052B"/>
    <w:rsid w:val="00E30AC3"/>
    <w:rsid w:val="00E31F79"/>
    <w:rsid w:val="00E32F8E"/>
    <w:rsid w:val="00E4189B"/>
    <w:rsid w:val="00E423FF"/>
    <w:rsid w:val="00E43A0D"/>
    <w:rsid w:val="00E44983"/>
    <w:rsid w:val="00E449B2"/>
    <w:rsid w:val="00E45D12"/>
    <w:rsid w:val="00E50889"/>
    <w:rsid w:val="00E526BA"/>
    <w:rsid w:val="00E55978"/>
    <w:rsid w:val="00E5632D"/>
    <w:rsid w:val="00E57220"/>
    <w:rsid w:val="00E62248"/>
    <w:rsid w:val="00E6609E"/>
    <w:rsid w:val="00E6779D"/>
    <w:rsid w:val="00E71962"/>
    <w:rsid w:val="00E72767"/>
    <w:rsid w:val="00E728B4"/>
    <w:rsid w:val="00E73AEB"/>
    <w:rsid w:val="00E73EA6"/>
    <w:rsid w:val="00E75554"/>
    <w:rsid w:val="00E77787"/>
    <w:rsid w:val="00E81BAC"/>
    <w:rsid w:val="00E85760"/>
    <w:rsid w:val="00E86E17"/>
    <w:rsid w:val="00E93810"/>
    <w:rsid w:val="00E95470"/>
    <w:rsid w:val="00E96AB4"/>
    <w:rsid w:val="00EA07B3"/>
    <w:rsid w:val="00EA2C78"/>
    <w:rsid w:val="00EA431C"/>
    <w:rsid w:val="00EA697B"/>
    <w:rsid w:val="00EB0B4E"/>
    <w:rsid w:val="00EB10D8"/>
    <w:rsid w:val="00EB2E5F"/>
    <w:rsid w:val="00EB57F0"/>
    <w:rsid w:val="00EB5CBE"/>
    <w:rsid w:val="00EB74C3"/>
    <w:rsid w:val="00EC4013"/>
    <w:rsid w:val="00ED2AA1"/>
    <w:rsid w:val="00ED5733"/>
    <w:rsid w:val="00ED5F2D"/>
    <w:rsid w:val="00ED6043"/>
    <w:rsid w:val="00ED7E68"/>
    <w:rsid w:val="00EE0432"/>
    <w:rsid w:val="00EE0810"/>
    <w:rsid w:val="00EE0CB0"/>
    <w:rsid w:val="00EE1EB3"/>
    <w:rsid w:val="00F03A23"/>
    <w:rsid w:val="00F05014"/>
    <w:rsid w:val="00F052AA"/>
    <w:rsid w:val="00F06222"/>
    <w:rsid w:val="00F0693B"/>
    <w:rsid w:val="00F07246"/>
    <w:rsid w:val="00F07FD7"/>
    <w:rsid w:val="00F2043E"/>
    <w:rsid w:val="00F206B2"/>
    <w:rsid w:val="00F22F0C"/>
    <w:rsid w:val="00F25B96"/>
    <w:rsid w:val="00F267A2"/>
    <w:rsid w:val="00F26854"/>
    <w:rsid w:val="00F27A63"/>
    <w:rsid w:val="00F3065E"/>
    <w:rsid w:val="00F373FB"/>
    <w:rsid w:val="00F40022"/>
    <w:rsid w:val="00F403D6"/>
    <w:rsid w:val="00F42066"/>
    <w:rsid w:val="00F425A6"/>
    <w:rsid w:val="00F42E10"/>
    <w:rsid w:val="00F43216"/>
    <w:rsid w:val="00F45562"/>
    <w:rsid w:val="00F478A9"/>
    <w:rsid w:val="00F5007A"/>
    <w:rsid w:val="00F5037F"/>
    <w:rsid w:val="00F5058A"/>
    <w:rsid w:val="00F51E01"/>
    <w:rsid w:val="00F5477E"/>
    <w:rsid w:val="00F55107"/>
    <w:rsid w:val="00F55901"/>
    <w:rsid w:val="00F57FE6"/>
    <w:rsid w:val="00F6275A"/>
    <w:rsid w:val="00F64067"/>
    <w:rsid w:val="00F67B7B"/>
    <w:rsid w:val="00F71183"/>
    <w:rsid w:val="00F7391F"/>
    <w:rsid w:val="00F7479A"/>
    <w:rsid w:val="00F7711E"/>
    <w:rsid w:val="00F82562"/>
    <w:rsid w:val="00F85C33"/>
    <w:rsid w:val="00F86045"/>
    <w:rsid w:val="00F864F6"/>
    <w:rsid w:val="00F90278"/>
    <w:rsid w:val="00F90AF2"/>
    <w:rsid w:val="00F919A7"/>
    <w:rsid w:val="00F92C8B"/>
    <w:rsid w:val="00F957D8"/>
    <w:rsid w:val="00F96A71"/>
    <w:rsid w:val="00F96B30"/>
    <w:rsid w:val="00F970AF"/>
    <w:rsid w:val="00F9763D"/>
    <w:rsid w:val="00FA4464"/>
    <w:rsid w:val="00FA470D"/>
    <w:rsid w:val="00FA51E5"/>
    <w:rsid w:val="00FA7855"/>
    <w:rsid w:val="00FB00A7"/>
    <w:rsid w:val="00FB091C"/>
    <w:rsid w:val="00FB6324"/>
    <w:rsid w:val="00FB7B5F"/>
    <w:rsid w:val="00FC41E2"/>
    <w:rsid w:val="00FC6091"/>
    <w:rsid w:val="00FC651F"/>
    <w:rsid w:val="00FC7EC1"/>
    <w:rsid w:val="00FD107F"/>
    <w:rsid w:val="00FD1AE0"/>
    <w:rsid w:val="00FD2E4F"/>
    <w:rsid w:val="00FD317F"/>
    <w:rsid w:val="00FD4233"/>
    <w:rsid w:val="00FE058D"/>
    <w:rsid w:val="00FE290B"/>
    <w:rsid w:val="00FE38C2"/>
    <w:rsid w:val="00FE3F5E"/>
    <w:rsid w:val="00FE5563"/>
    <w:rsid w:val="00FE57BA"/>
    <w:rsid w:val="00FE59FF"/>
    <w:rsid w:val="00FF0E56"/>
    <w:rsid w:val="00FF3915"/>
    <w:rsid w:val="00FF393B"/>
    <w:rsid w:val="00FF5D14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946AF7"/>
  <w15:chartTrackingRefBased/>
  <w15:docId w15:val="{C06A3287-F2D2-41DD-A899-C6E964A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D7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DocumentMap">
    <w:name w:val="Document Map"/>
    <w:basedOn w:val="Normal"/>
    <w:pPr>
      <w:shd w:val="clear" w:color="000000" w:fill="00007F"/>
    </w:pPr>
    <w:rPr>
      <w:rFonts w:ascii="Tahoma" w:hAnsi="Tahoma" w:cs="Tahoma"/>
      <w:sz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l-GR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vision1">
    <w:name w:val="Revision1"/>
    <w:rPr>
      <w:rFonts w:ascii="Arial" w:hAnsi="Arial" w:cs="Arial"/>
      <w:color w:val="000000"/>
      <w:sz w:val="24"/>
      <w:lang w:val="en-AU"/>
    </w:rPr>
  </w:style>
  <w:style w:type="paragraph" w:styleId="EndnoteText">
    <w:name w:val="endnote text"/>
    <w:basedOn w:val="Normal"/>
    <w:rPr>
      <w:sz w:val="20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i/>
      <w:iCs w:val="0"/>
    </w:rPr>
  </w:style>
  <w:style w:type="character" w:customStyle="1" w:styleId="CommentSubjectChar">
    <w:name w:val="Comment Subject Char"/>
    <w:rPr>
      <w:rFonts w:ascii="Arial" w:hAnsi="Arial"/>
      <w:b/>
      <w:bCs w:val="0"/>
      <w:lang w:val="en-AU"/>
    </w:rPr>
  </w:style>
  <w:style w:type="character" w:customStyle="1" w:styleId="bog-bodytext1">
    <w:name w:val="bog-bodytext1"/>
    <w:rPr>
      <w:rFonts w:ascii="Tahoma" w:hAnsi="Tahoma" w:cs="Tahoma"/>
      <w:color w:val="000000"/>
      <w:sz w:val="18"/>
      <w:szCs w:val="18"/>
    </w:rPr>
  </w:style>
  <w:style w:type="character" w:customStyle="1" w:styleId="HeaderChar">
    <w:name w:val="Header Char"/>
    <w:rPr>
      <w:rFonts w:ascii="Arial" w:hAnsi="Arial"/>
      <w:sz w:val="24"/>
      <w:lang w:val="en-AU"/>
    </w:rPr>
  </w:style>
  <w:style w:type="character" w:customStyle="1" w:styleId="BodyTextChar">
    <w:name w:val="Body Text Char"/>
    <w:rPr>
      <w:sz w:val="24"/>
      <w:lang w:val="el-GR" w:eastAsia="el-GR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g-bodytext">
    <w:name w:val="bog-bodytext"/>
    <w:basedOn w:val="DefaultParagraphFont"/>
  </w:style>
  <w:style w:type="character" w:styleId="FootnoteReference">
    <w:name w:val="footnote reference"/>
    <w:rPr>
      <w:position w:val="-2"/>
      <w:vertAlign w:val="superscript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apple-converted-space">
    <w:name w:val="apple-converted-space"/>
    <w:basedOn w:val="DefaultParagraphFont"/>
  </w:style>
  <w:style w:type="character" w:customStyle="1" w:styleId="EndnoteTextChar">
    <w:name w:val="Endnote Text Char"/>
    <w:rPr>
      <w:rFonts w:ascii="Arial" w:hAnsi="Arial"/>
      <w:lang w:val="en-AU" w:eastAsia="el-GR"/>
    </w:rPr>
  </w:style>
  <w:style w:type="character" w:styleId="EndnoteReference">
    <w:name w:val="endnote reference"/>
    <w:rPr>
      <w:position w:val="-2"/>
      <w:vertAlign w:val="superscript"/>
    </w:rPr>
  </w:style>
  <w:style w:type="table" w:styleId="TableGrid">
    <w:name w:val="Table Grid"/>
    <w:basedOn w:val="TableNormal"/>
    <w:uiPriority w:val="59"/>
    <w:rsid w:val="00C7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11D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66A4F"/>
    <w:rPr>
      <w:color w:val="000000"/>
      <w:sz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104D7C"/>
    <w:rPr>
      <w:rFonts w:ascii="Cambria" w:eastAsia="Times New Roman" w:hAnsi="Cambria" w:cs="Times New Roman"/>
      <w:b/>
      <w:bCs/>
      <w:color w:val="000000"/>
      <w:sz w:val="26"/>
      <w:szCs w:val="2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4D7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04D7C"/>
    <w:rPr>
      <w:rFonts w:ascii="Arial" w:hAnsi="Arial" w:cs="Arial"/>
      <w:color w:val="000000"/>
      <w:sz w:val="24"/>
      <w:lang w:val="en-AU"/>
    </w:rPr>
  </w:style>
  <w:style w:type="paragraph" w:styleId="Revision">
    <w:name w:val="Revision"/>
    <w:hidden/>
    <w:uiPriority w:val="99"/>
    <w:semiHidden/>
    <w:rsid w:val="00871F0B"/>
    <w:rPr>
      <w:rFonts w:ascii="Arial" w:hAnsi="Arial" w:cs="Arial"/>
      <w:color w:val="000000"/>
      <w:sz w:val="24"/>
      <w:lang w:val="en-AU"/>
    </w:rPr>
  </w:style>
  <w:style w:type="character" w:styleId="FollowedHyperlink">
    <w:name w:val="FollowedHyperlink"/>
    <w:uiPriority w:val="99"/>
    <w:semiHidden/>
    <w:unhideWhenUsed/>
    <w:rsid w:val="00EB74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nkofgreece.gr/statistika/mh-nomismatika-xrhmatopistwtika-idrymata/sygkentrwtikes-logistikes-katastaseis-asfalistikwn-epixeirhsew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nkofgreece.gr/RelatedDocuments/2026_%CE%91%CF%83%CF%86%CE%95%CF%80%CE%B9%CF%87_%CE%97%CE%BC%CE%B5%CF%81%CE%BF%CE%BB%CF%8C%CE%B3%CE%B9%CE%BF_%CE%B4%CE%B7%CE%BC%CE%BF%CF%83%CE%AF%CE%B5%CF%85%CF%83%CE%B7%CF%82.x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kofgreece.gr/BogDocumentPEE/&#928;&#917;&#917;_94_16_5_201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7B8D-9BD3-4FD5-829F-232A368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945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serv.press@bankofgreece.gr</Manager>
  <Company>Bank of Greece</Company>
  <LinksUpToDate>false</LinksUpToDate>
  <CharactersWithSpaces>6041</CharactersWithSpaces>
  <SharedDoc>false</SharedDoc>
  <HLinks>
    <vt:vector size="30" baseType="variant">
      <vt:variant>
        <vt:i4>2818157</vt:i4>
      </vt:variant>
      <vt:variant>
        <vt:i4>6</vt:i4>
      </vt:variant>
      <vt:variant>
        <vt:i4>0</vt:i4>
      </vt:variant>
      <vt:variant>
        <vt:i4>5</vt:i4>
      </vt:variant>
      <vt:variant>
        <vt:lpwstr>https://www.bankofgreece.gr/statistika/mh-nomismatika-xrhmatopistwtika-idrymata/sygkentrwtikes-logistikes-katastaseis-asfalistikwn-epixeirhsewn</vt:lpwstr>
      </vt:variant>
      <vt:variant>
        <vt:lpwstr/>
      </vt:variant>
      <vt:variant>
        <vt:i4>131191</vt:i4>
      </vt:variant>
      <vt:variant>
        <vt:i4>3</vt:i4>
      </vt:variant>
      <vt:variant>
        <vt:i4>0</vt:i4>
      </vt:variant>
      <vt:variant>
        <vt:i4>5</vt:i4>
      </vt:variant>
      <vt:variant>
        <vt:lpwstr>https://www.bankofgreece.gr/RelatedDocuments/2026_%CE%91%CF%83%CF%86%CE%95%CF%80%CE%B9%CF%87_%CE%97%CE%BC%CE%B5%CF%81%CE%BF%CE%BB%CF%8C%CE%B3%CE%B9%CE%BF_%CE%B4%CE%B7%CE%BC%CE%BF%CF%83%CE%AF%CE%B5%CF%85%CF%83%CE%B7%CF%82.xls</vt:lpwstr>
      </vt:variant>
      <vt:variant>
        <vt:lpwstr/>
      </vt:variant>
      <vt:variant>
        <vt:i4>63832097</vt:i4>
      </vt:variant>
      <vt:variant>
        <vt:i4>0</vt:i4>
      </vt:variant>
      <vt:variant>
        <vt:i4>0</vt:i4>
      </vt:variant>
      <vt:variant>
        <vt:i4>5</vt:i4>
      </vt:variant>
      <vt:variant>
        <vt:lpwstr>http://www.bankofgreece.gr/BogDocumentPEE/ΠΕΕ_94_16_5_2016.pdf</vt:lpwstr>
      </vt:variant>
      <vt:variant>
        <vt:lpwstr/>
      </vt:variant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mailto:press@bankofgreece.gr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Section</dc:creator>
  <cp:keywords/>
  <cp:lastModifiedBy>MARMAROU, Ioanna</cp:lastModifiedBy>
  <cp:revision>3</cp:revision>
  <cp:lastPrinted>2026-05-28T09:07:00Z</cp:lastPrinted>
  <dcterms:created xsi:type="dcterms:W3CDTF">2026-05-29T08:25:00Z</dcterms:created>
  <dcterms:modified xsi:type="dcterms:W3CDTF">2026-05-29T08:26:00Z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2025-11-26T10:05:58Z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4dca9aa0-7ffc-41dd-8885-491314010f6f</vt:lpwstr>
  </property>
  <property fmtid="{D5CDD505-2E9C-101B-9397-08002B2CF9AE}" pid="8" name="MSIP_Label_2e64f240-1db5-4acf-9bde-572066689a31_ContentBits">
    <vt:lpwstr>0</vt:lpwstr>
  </property>
</Properties>
</file>