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6" w:type="dxa"/>
        <w:tblInd w:w="108" w:type="dxa"/>
        <w:tblLook w:val="04A0" w:firstRow="1" w:lastRow="0" w:firstColumn="1" w:lastColumn="0" w:noHBand="0" w:noVBand="1"/>
      </w:tblPr>
      <w:tblGrid>
        <w:gridCol w:w="3369"/>
        <w:gridCol w:w="5917"/>
      </w:tblGrid>
      <w:tr w:rsidR="006F37D0" w:rsidRPr="007F040F" w14:paraId="009AB285" w14:textId="77777777" w:rsidTr="00F26854">
        <w:trPr>
          <w:trHeight w:val="1757"/>
        </w:trPr>
        <w:tc>
          <w:tcPr>
            <w:tcW w:w="3369" w:type="dxa"/>
            <w:tcBorders>
              <w:left w:val="single" w:sz="48" w:space="0" w:color="BC9E6E"/>
            </w:tcBorders>
            <w:shd w:val="clear" w:color="auto" w:fill="auto"/>
            <w:vAlign w:val="center"/>
          </w:tcPr>
          <w:p w14:paraId="4436D7E8" w14:textId="26EB06E6" w:rsidR="00C711D6" w:rsidRPr="00766A4F" w:rsidRDefault="007013E4" w:rsidP="008C769E">
            <w:pPr>
              <w:tabs>
                <w:tab w:val="left" w:pos="4680"/>
                <w:tab w:val="left" w:pos="8100"/>
              </w:tabs>
              <w:spacing w:before="60"/>
              <w:ind w:right="142" w:firstLine="142"/>
              <w:jc w:val="both"/>
              <w:rPr>
                <w:i/>
                <w:noProof/>
                <w:szCs w:val="22"/>
                <w:lang w:eastAsia="en-GB"/>
              </w:rPr>
            </w:pPr>
            <w:r>
              <w:rPr>
                <w:i/>
                <w:noProof/>
                <w:szCs w:val="22"/>
                <w:lang w:eastAsia="en-GB"/>
              </w:rPr>
              <w:drawing>
                <wp:inline distT="0" distB="0" distL="0" distR="0" wp14:anchorId="2E1693D2" wp14:editId="25D5E2F6">
                  <wp:extent cx="1619250" cy="876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7" w:type="dxa"/>
            <w:shd w:val="clear" w:color="auto" w:fill="auto"/>
          </w:tcPr>
          <w:p w14:paraId="0705A7D1" w14:textId="77777777" w:rsidR="00375D2B" w:rsidRPr="007F040F" w:rsidRDefault="00375D2B" w:rsidP="00375D2B">
            <w:pPr>
              <w:pStyle w:val="Heading1"/>
              <w:jc w:val="right"/>
              <w:rPr>
                <w:b/>
                <w:i w:val="0"/>
                <w:noProof/>
                <w:color w:val="002060"/>
                <w:sz w:val="32"/>
                <w:szCs w:val="22"/>
                <w:u w:val="none"/>
                <w:lang w:eastAsia="en-GB"/>
              </w:rPr>
            </w:pPr>
          </w:p>
          <w:p w14:paraId="7F03A9CE" w14:textId="77777777" w:rsidR="00375D2B" w:rsidRPr="007F040F" w:rsidRDefault="00375D2B" w:rsidP="00375D2B">
            <w:pPr>
              <w:pStyle w:val="Heading1"/>
              <w:jc w:val="right"/>
              <w:rPr>
                <w:b/>
                <w:i w:val="0"/>
                <w:noProof/>
                <w:color w:val="002060"/>
                <w:sz w:val="28"/>
                <w:szCs w:val="22"/>
                <w:u w:val="none"/>
                <w:lang w:eastAsia="en-GB"/>
              </w:rPr>
            </w:pPr>
            <w:r w:rsidRPr="007F040F">
              <w:rPr>
                <w:b/>
                <w:i w:val="0"/>
                <w:noProof/>
                <w:color w:val="002060"/>
                <w:sz w:val="28"/>
                <w:szCs w:val="22"/>
                <w:u w:val="none"/>
                <w:lang w:eastAsia="en-GB"/>
              </w:rPr>
              <w:t xml:space="preserve">ΔΕΛΤΙΟ ΤΥΠΟΥ </w:t>
            </w:r>
          </w:p>
          <w:p w14:paraId="4A963C78" w14:textId="77777777" w:rsidR="00C711D6" w:rsidRPr="007F040F" w:rsidRDefault="00375D2B" w:rsidP="00BE1F6B">
            <w:pPr>
              <w:pStyle w:val="Heading1"/>
              <w:ind w:firstLine="0"/>
              <w:jc w:val="right"/>
              <w:rPr>
                <w:i w:val="0"/>
                <w:noProof/>
                <w:color w:val="002060"/>
                <w:szCs w:val="22"/>
                <w:u w:val="none"/>
                <w:lang w:eastAsia="en-GB"/>
              </w:rPr>
            </w:pPr>
            <w:r w:rsidRPr="007F040F">
              <w:rPr>
                <w:i w:val="0"/>
                <w:noProof/>
                <w:color w:val="002060"/>
                <w:szCs w:val="22"/>
                <w:u w:val="none"/>
                <w:lang w:eastAsia="en-GB"/>
              </w:rPr>
              <w:t xml:space="preserve">Αθήνα, </w:t>
            </w:r>
            <w:r w:rsidR="00B0758E" w:rsidRPr="00913BDE">
              <w:rPr>
                <w:i w:val="0"/>
                <w:noProof/>
                <w:color w:val="1F3864"/>
                <w:szCs w:val="22"/>
                <w:u w:val="none"/>
                <w:lang w:val="en-US" w:eastAsia="en-GB"/>
              </w:rPr>
              <w:t>2</w:t>
            </w:r>
            <w:r w:rsidR="00BE1F6B">
              <w:rPr>
                <w:i w:val="0"/>
                <w:noProof/>
                <w:color w:val="1F3864"/>
                <w:szCs w:val="22"/>
                <w:u w:val="none"/>
                <w:lang w:eastAsia="en-GB"/>
              </w:rPr>
              <w:t>7</w:t>
            </w:r>
            <w:r w:rsidR="00890992" w:rsidRPr="00913BDE">
              <w:rPr>
                <w:i w:val="0"/>
                <w:noProof/>
                <w:color w:val="1F3864"/>
                <w:szCs w:val="22"/>
                <w:u w:val="none"/>
                <w:lang w:eastAsia="en-GB"/>
              </w:rPr>
              <w:t xml:space="preserve"> </w:t>
            </w:r>
            <w:r w:rsidR="00BE1F6B">
              <w:rPr>
                <w:i w:val="0"/>
                <w:color w:val="1F3864"/>
                <w:szCs w:val="22"/>
                <w:u w:val="none"/>
              </w:rPr>
              <w:t xml:space="preserve">Αυγούστου </w:t>
            </w:r>
            <w:r w:rsidRPr="00913BDE">
              <w:rPr>
                <w:i w:val="0"/>
                <w:noProof/>
                <w:color w:val="1F3864"/>
                <w:szCs w:val="22"/>
                <w:u w:val="none"/>
                <w:lang w:eastAsia="en-GB"/>
              </w:rPr>
              <w:t>202</w:t>
            </w:r>
            <w:r w:rsidR="00FC7EC1" w:rsidRPr="00913BDE">
              <w:rPr>
                <w:i w:val="0"/>
                <w:noProof/>
                <w:color w:val="1F3864"/>
                <w:szCs w:val="22"/>
                <w:u w:val="none"/>
                <w:lang w:eastAsia="en-GB"/>
              </w:rPr>
              <w:t>5</w:t>
            </w:r>
          </w:p>
        </w:tc>
      </w:tr>
    </w:tbl>
    <w:p w14:paraId="49BF5382" w14:textId="77777777" w:rsidR="00724E80" w:rsidRDefault="00724E80" w:rsidP="008F1D5F">
      <w:pPr>
        <w:pStyle w:val="Heading6"/>
        <w:tabs>
          <w:tab w:val="left" w:pos="4680"/>
          <w:tab w:val="left" w:pos="8100"/>
        </w:tabs>
        <w:spacing w:after="120" w:line="276" w:lineRule="auto"/>
        <w:ind w:left="0" w:right="-2"/>
        <w:jc w:val="left"/>
        <w:rPr>
          <w:b/>
          <w:i w:val="0"/>
          <w:color w:val="00205B"/>
          <w:sz w:val="32"/>
          <w:szCs w:val="32"/>
        </w:rPr>
      </w:pPr>
    </w:p>
    <w:p w14:paraId="4BF38F19" w14:textId="77777777" w:rsidR="0022527E" w:rsidRPr="001D541F" w:rsidRDefault="00036433" w:rsidP="008F1D5F">
      <w:pPr>
        <w:pStyle w:val="Heading6"/>
        <w:tabs>
          <w:tab w:val="left" w:pos="4680"/>
          <w:tab w:val="left" w:pos="8100"/>
        </w:tabs>
        <w:spacing w:after="120" w:line="276" w:lineRule="auto"/>
        <w:ind w:left="0" w:right="-2"/>
        <w:jc w:val="left"/>
        <w:rPr>
          <w:b/>
          <w:i w:val="0"/>
          <w:color w:val="00205B"/>
          <w:sz w:val="32"/>
          <w:szCs w:val="32"/>
        </w:rPr>
      </w:pPr>
      <w:r w:rsidRPr="001D541F">
        <w:rPr>
          <w:b/>
          <w:i w:val="0"/>
          <w:color w:val="00205B"/>
          <w:sz w:val="32"/>
          <w:szCs w:val="32"/>
        </w:rPr>
        <w:t>Στατιστικά στοιχεία Ασφαλιστικών Επιχειρήσεων</w:t>
      </w:r>
      <w:r w:rsidR="00104D7C" w:rsidRPr="001D541F">
        <w:rPr>
          <w:b/>
          <w:i w:val="0"/>
          <w:color w:val="00205B"/>
          <w:sz w:val="32"/>
          <w:szCs w:val="32"/>
        </w:rPr>
        <w:t xml:space="preserve"> –</w:t>
      </w:r>
    </w:p>
    <w:p w14:paraId="59C59476" w14:textId="77777777" w:rsidR="00F957D8" w:rsidRPr="00883D7D" w:rsidRDefault="00835A34" w:rsidP="00724E80">
      <w:pPr>
        <w:pStyle w:val="Heading6"/>
        <w:tabs>
          <w:tab w:val="left" w:pos="4680"/>
          <w:tab w:val="left" w:pos="8100"/>
        </w:tabs>
        <w:spacing w:after="120" w:line="276" w:lineRule="auto"/>
        <w:ind w:left="0" w:right="-2"/>
        <w:jc w:val="left"/>
        <w:rPr>
          <w:b/>
          <w:i w:val="0"/>
          <w:color w:val="00205B"/>
          <w:sz w:val="32"/>
          <w:szCs w:val="32"/>
          <w:lang w:val="en-US"/>
        </w:rPr>
      </w:pPr>
      <w:r>
        <w:rPr>
          <w:b/>
          <w:i w:val="0"/>
          <w:color w:val="00205B"/>
          <w:sz w:val="32"/>
          <w:szCs w:val="32"/>
        </w:rPr>
        <w:t>β</w:t>
      </w:r>
      <w:r w:rsidR="0022527E" w:rsidRPr="001D541F">
        <w:rPr>
          <w:b/>
          <w:i w:val="0"/>
          <w:color w:val="00205B"/>
          <w:sz w:val="32"/>
          <w:szCs w:val="32"/>
        </w:rPr>
        <w:t>΄</w:t>
      </w:r>
      <w:r w:rsidR="00036433" w:rsidRPr="001D541F">
        <w:rPr>
          <w:b/>
          <w:i w:val="0"/>
          <w:color w:val="00205B"/>
          <w:sz w:val="32"/>
          <w:szCs w:val="32"/>
        </w:rPr>
        <w:t xml:space="preserve"> τρίμηνο</w:t>
      </w:r>
      <w:r w:rsidR="00B0758E">
        <w:rPr>
          <w:b/>
          <w:i w:val="0"/>
          <w:color w:val="00205B"/>
          <w:sz w:val="32"/>
          <w:szCs w:val="32"/>
        </w:rPr>
        <w:t xml:space="preserve"> 2025</w:t>
      </w:r>
    </w:p>
    <w:p w14:paraId="0BDD5FAB" w14:textId="77777777" w:rsidR="0068536A" w:rsidRPr="00871F0B" w:rsidRDefault="00036433" w:rsidP="00A262CA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2"/>
          <w:szCs w:val="22"/>
          <w:lang w:val="el-GR"/>
        </w:rPr>
      </w:pPr>
      <w:r w:rsidRPr="006E2C34">
        <w:rPr>
          <w:sz w:val="22"/>
          <w:szCs w:val="22"/>
          <w:lang w:val="el-GR"/>
        </w:rPr>
        <w:t xml:space="preserve">Η συνολική αξία του ενεργητικού των ασφαλιστικών επιχειρήσεων </w:t>
      </w:r>
      <w:r w:rsidR="00EA431C">
        <w:rPr>
          <w:sz w:val="22"/>
          <w:szCs w:val="22"/>
          <w:lang w:val="el-GR"/>
        </w:rPr>
        <w:t xml:space="preserve">παρουσίασε </w:t>
      </w:r>
      <w:r w:rsidR="00BE1F6B">
        <w:rPr>
          <w:sz w:val="22"/>
          <w:szCs w:val="22"/>
          <w:lang w:val="el-GR"/>
        </w:rPr>
        <w:t>αύξη</w:t>
      </w:r>
      <w:r w:rsidR="00DA2523">
        <w:rPr>
          <w:sz w:val="22"/>
          <w:szCs w:val="22"/>
          <w:lang w:val="el-GR"/>
        </w:rPr>
        <w:t>σ</w:t>
      </w:r>
      <w:r w:rsidR="0047134D">
        <w:rPr>
          <w:sz w:val="22"/>
          <w:szCs w:val="22"/>
          <w:lang w:val="el-GR"/>
        </w:rPr>
        <w:t>η</w:t>
      </w:r>
      <w:r w:rsidR="009630D5">
        <w:rPr>
          <w:sz w:val="22"/>
          <w:szCs w:val="22"/>
          <w:lang w:val="el-GR"/>
        </w:rPr>
        <w:t xml:space="preserve"> κατά </w:t>
      </w:r>
      <w:r w:rsidR="00BE1F6B">
        <w:rPr>
          <w:sz w:val="22"/>
          <w:szCs w:val="22"/>
          <w:lang w:val="el-GR"/>
        </w:rPr>
        <w:t>2,1</w:t>
      </w:r>
      <w:r w:rsidR="009630D5">
        <w:rPr>
          <w:sz w:val="22"/>
          <w:szCs w:val="22"/>
          <w:lang w:val="el-GR"/>
        </w:rPr>
        <w:t xml:space="preserve">% </w:t>
      </w:r>
      <w:r w:rsidR="00BE1F6B">
        <w:rPr>
          <w:sz w:val="22"/>
          <w:szCs w:val="22"/>
          <w:lang w:val="el-GR"/>
        </w:rPr>
        <w:t>το β</w:t>
      </w:r>
      <w:r w:rsidR="00E526BA" w:rsidRPr="00682D30">
        <w:rPr>
          <w:sz w:val="22"/>
          <w:szCs w:val="22"/>
          <w:lang w:val="el-GR"/>
        </w:rPr>
        <w:t>΄</w:t>
      </w:r>
      <w:r w:rsidR="00DA2523">
        <w:rPr>
          <w:sz w:val="22"/>
          <w:szCs w:val="22"/>
          <w:lang w:val="el-GR"/>
        </w:rPr>
        <w:t xml:space="preserve"> τρίμηνο του 2025</w:t>
      </w:r>
      <w:r w:rsidR="003217D2">
        <w:rPr>
          <w:sz w:val="22"/>
          <w:szCs w:val="22"/>
          <w:lang w:val="el-GR"/>
        </w:rPr>
        <w:t xml:space="preserve"> </w:t>
      </w:r>
      <w:r w:rsidR="00BB10B9">
        <w:rPr>
          <w:sz w:val="22"/>
          <w:szCs w:val="22"/>
          <w:lang w:val="el-GR"/>
        </w:rPr>
        <w:t xml:space="preserve">και </w:t>
      </w:r>
      <w:r w:rsidR="00520777" w:rsidRPr="006E2C34">
        <w:rPr>
          <w:sz w:val="22"/>
          <w:szCs w:val="22"/>
          <w:lang w:val="el-GR"/>
        </w:rPr>
        <w:t>διαμορφώθηκε</w:t>
      </w:r>
      <w:r w:rsidRPr="006E2C34">
        <w:rPr>
          <w:sz w:val="22"/>
          <w:szCs w:val="22"/>
          <w:lang w:val="el-GR"/>
        </w:rPr>
        <w:t xml:space="preserve"> σ</w:t>
      </w:r>
      <w:r w:rsidR="008E7EAC">
        <w:rPr>
          <w:sz w:val="22"/>
          <w:szCs w:val="22"/>
          <w:lang w:val="el-GR"/>
        </w:rPr>
        <w:t>τα</w:t>
      </w:r>
      <w:r w:rsidRPr="006E2C34">
        <w:rPr>
          <w:sz w:val="22"/>
          <w:szCs w:val="22"/>
          <w:lang w:val="el-GR"/>
        </w:rPr>
        <w:t xml:space="preserve"> </w:t>
      </w:r>
      <w:r w:rsidR="00BE1F6B">
        <w:rPr>
          <w:sz w:val="22"/>
          <w:szCs w:val="22"/>
          <w:lang w:val="el-GR"/>
        </w:rPr>
        <w:t>21.503</w:t>
      </w:r>
      <w:r w:rsidRPr="006E2C34">
        <w:rPr>
          <w:sz w:val="22"/>
          <w:szCs w:val="22"/>
          <w:lang w:val="el-GR"/>
        </w:rPr>
        <w:t xml:space="preserve"> εκατ.</w:t>
      </w:r>
      <w:r w:rsidR="003217D2">
        <w:rPr>
          <w:sz w:val="22"/>
          <w:szCs w:val="22"/>
          <w:lang w:val="el-GR"/>
        </w:rPr>
        <w:t xml:space="preserve"> ευρώ</w:t>
      </w:r>
      <w:r w:rsidR="0025157C" w:rsidRPr="00640B23">
        <w:rPr>
          <w:sz w:val="22"/>
          <w:szCs w:val="22"/>
          <w:lang w:val="el-GR"/>
        </w:rPr>
        <w:t>,</w:t>
      </w:r>
      <w:r w:rsidRPr="006E2C34">
        <w:rPr>
          <w:sz w:val="22"/>
          <w:szCs w:val="22"/>
          <w:lang w:val="el-GR"/>
        </w:rPr>
        <w:t xml:space="preserve"> έναντι </w:t>
      </w:r>
      <w:r w:rsidR="00BE1F6B">
        <w:rPr>
          <w:sz w:val="22"/>
          <w:szCs w:val="22"/>
          <w:lang w:val="el-GR"/>
        </w:rPr>
        <w:t>21.059</w:t>
      </w:r>
      <w:r w:rsidR="005F5E3D" w:rsidRPr="005F5E3D">
        <w:rPr>
          <w:sz w:val="22"/>
          <w:szCs w:val="22"/>
          <w:lang w:val="el-GR"/>
        </w:rPr>
        <w:t xml:space="preserve"> </w:t>
      </w:r>
      <w:r w:rsidRPr="006E2C34">
        <w:rPr>
          <w:sz w:val="22"/>
          <w:szCs w:val="22"/>
          <w:lang w:val="el-GR"/>
        </w:rPr>
        <w:t>εκατ. ευρώ το προηγούμενο τρίμηνο.</w:t>
      </w:r>
      <w:r w:rsidR="00B57F1E" w:rsidRPr="00871F0B">
        <w:rPr>
          <w:iCs/>
          <w:sz w:val="22"/>
          <w:szCs w:val="22"/>
          <w:lang w:val="el-GR"/>
        </w:rPr>
        <w:t xml:space="preserve"> </w:t>
      </w:r>
    </w:p>
    <w:p w14:paraId="46ABCCB5" w14:textId="77777777" w:rsidR="00724E80" w:rsidRDefault="006D6997" w:rsidP="00724E80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n-US"/>
        </w:rPr>
        <w:t>O</w:t>
      </w:r>
      <w:r w:rsidR="00B41AB3" w:rsidRPr="00871F0B">
        <w:rPr>
          <w:sz w:val="22"/>
          <w:szCs w:val="22"/>
          <w:lang w:val="el-GR"/>
        </w:rPr>
        <w:t xml:space="preserve">ι ασφαλιστικές τεχνικές προβλέψεις </w:t>
      </w:r>
      <w:r w:rsidR="00BE1F6B">
        <w:rPr>
          <w:sz w:val="22"/>
          <w:szCs w:val="22"/>
          <w:lang w:val="el-GR"/>
        </w:rPr>
        <w:t>αυξή</w:t>
      </w:r>
      <w:r w:rsidR="00311BFA">
        <w:rPr>
          <w:sz w:val="22"/>
          <w:szCs w:val="22"/>
          <w:lang w:val="el-GR"/>
        </w:rPr>
        <w:t>θηκαν</w:t>
      </w:r>
      <w:r w:rsidR="00AC4969" w:rsidRPr="00871F0B">
        <w:rPr>
          <w:sz w:val="22"/>
          <w:szCs w:val="22"/>
          <w:lang w:val="el-GR"/>
        </w:rPr>
        <w:t xml:space="preserve"> </w:t>
      </w:r>
      <w:r w:rsidR="00B41AB3" w:rsidRPr="00871F0B">
        <w:rPr>
          <w:sz w:val="22"/>
          <w:szCs w:val="22"/>
          <w:lang w:val="el-GR"/>
        </w:rPr>
        <w:t xml:space="preserve">κατά </w:t>
      </w:r>
      <w:r w:rsidR="00BE1F6B">
        <w:rPr>
          <w:sz w:val="22"/>
          <w:szCs w:val="22"/>
          <w:lang w:val="el-GR"/>
        </w:rPr>
        <w:t>177</w:t>
      </w:r>
      <w:r w:rsidR="003C7D62" w:rsidRPr="00871F0B">
        <w:rPr>
          <w:sz w:val="22"/>
          <w:szCs w:val="22"/>
          <w:lang w:val="el-GR"/>
        </w:rPr>
        <w:t xml:space="preserve"> </w:t>
      </w:r>
      <w:r w:rsidR="00B41AB3" w:rsidRPr="00871F0B">
        <w:rPr>
          <w:sz w:val="22"/>
          <w:szCs w:val="22"/>
          <w:lang w:val="el-GR"/>
        </w:rPr>
        <w:t>εκατ</w:t>
      </w:r>
      <w:r w:rsidR="009D23DB">
        <w:rPr>
          <w:sz w:val="22"/>
          <w:szCs w:val="22"/>
          <w:lang w:val="el-GR"/>
        </w:rPr>
        <w:t>. ε</w:t>
      </w:r>
      <w:r w:rsidR="009C147E">
        <w:rPr>
          <w:sz w:val="22"/>
          <w:szCs w:val="22"/>
          <w:lang w:val="el-GR"/>
        </w:rPr>
        <w:t xml:space="preserve">υρώ και διαμορφώθηκαν στα </w:t>
      </w:r>
      <w:r w:rsidR="00DA2523">
        <w:rPr>
          <w:sz w:val="22"/>
          <w:szCs w:val="22"/>
          <w:lang w:val="el-GR"/>
        </w:rPr>
        <w:t>15.</w:t>
      </w:r>
      <w:r w:rsidR="0004510B">
        <w:rPr>
          <w:sz w:val="22"/>
          <w:szCs w:val="22"/>
          <w:lang w:val="el-GR"/>
        </w:rPr>
        <w:t>732</w:t>
      </w:r>
      <w:r w:rsidR="00C10AAE">
        <w:rPr>
          <w:sz w:val="22"/>
          <w:szCs w:val="22"/>
          <w:lang w:val="el-GR"/>
        </w:rPr>
        <w:t xml:space="preserve"> </w:t>
      </w:r>
      <w:r w:rsidR="00B41AB3" w:rsidRPr="00871F0B">
        <w:rPr>
          <w:sz w:val="22"/>
          <w:szCs w:val="22"/>
          <w:lang w:val="el-GR"/>
        </w:rPr>
        <w:t>εκατ. ευρώ</w:t>
      </w:r>
      <w:r w:rsidR="0025157C" w:rsidRPr="00640B23">
        <w:rPr>
          <w:sz w:val="22"/>
          <w:szCs w:val="22"/>
          <w:lang w:val="el-GR"/>
        </w:rPr>
        <w:t>,</w:t>
      </w:r>
      <w:r w:rsidR="00BB10B9">
        <w:rPr>
          <w:sz w:val="22"/>
          <w:szCs w:val="22"/>
          <w:lang w:val="el-GR"/>
        </w:rPr>
        <w:t xml:space="preserve"> έναντι </w:t>
      </w:r>
      <w:r w:rsidR="0004510B">
        <w:rPr>
          <w:sz w:val="22"/>
          <w:szCs w:val="22"/>
          <w:lang w:val="el-GR"/>
        </w:rPr>
        <w:t>15.555</w:t>
      </w:r>
      <w:r w:rsidR="005F5E3D" w:rsidRPr="005F5E3D">
        <w:rPr>
          <w:sz w:val="22"/>
          <w:szCs w:val="22"/>
          <w:lang w:val="el-GR"/>
        </w:rPr>
        <w:t xml:space="preserve"> </w:t>
      </w:r>
      <w:r w:rsidR="001079B1">
        <w:rPr>
          <w:sz w:val="22"/>
          <w:szCs w:val="22"/>
          <w:lang w:val="el-GR"/>
        </w:rPr>
        <w:t xml:space="preserve">εκατ. ευρώ </w:t>
      </w:r>
      <w:r w:rsidR="00BB10B9">
        <w:rPr>
          <w:sz w:val="22"/>
          <w:szCs w:val="22"/>
          <w:lang w:val="el-GR"/>
        </w:rPr>
        <w:t>το προηγούμενο τρίμηνο</w:t>
      </w:r>
      <w:r w:rsidR="00B41AB3" w:rsidRPr="006E2C34">
        <w:rPr>
          <w:sz w:val="22"/>
          <w:szCs w:val="22"/>
          <w:lang w:val="el-GR"/>
        </w:rPr>
        <w:t>.</w:t>
      </w:r>
    </w:p>
    <w:p w14:paraId="47D90E53" w14:textId="77777777" w:rsidR="00724E80" w:rsidRPr="00724E80" w:rsidRDefault="00724E80" w:rsidP="00724E80">
      <w:pPr>
        <w:spacing w:line="360" w:lineRule="auto"/>
        <w:ind w:left="426"/>
        <w:jc w:val="both"/>
        <w:rPr>
          <w:sz w:val="22"/>
          <w:szCs w:val="22"/>
          <w:lang w:val="el-GR"/>
        </w:rPr>
      </w:pPr>
    </w:p>
    <w:p w14:paraId="6D07666F" w14:textId="77777777" w:rsidR="0022527E" w:rsidRPr="00682D30" w:rsidRDefault="0022527E" w:rsidP="006E2C34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Η συνολική αξία του ενεργητικού τ</w:t>
      </w:r>
      <w:r w:rsidR="003B2A1F">
        <w:rPr>
          <w:sz w:val="22"/>
          <w:szCs w:val="22"/>
          <w:lang w:val="el-GR"/>
        </w:rPr>
        <w:t>ων</w:t>
      </w:r>
      <w:r>
        <w:rPr>
          <w:sz w:val="22"/>
          <w:szCs w:val="22"/>
          <w:lang w:val="el-GR"/>
        </w:rPr>
        <w:t xml:space="preserve"> </w:t>
      </w:r>
      <w:r w:rsidRPr="00682D30">
        <w:rPr>
          <w:sz w:val="22"/>
          <w:szCs w:val="22"/>
          <w:lang w:val="el-GR"/>
        </w:rPr>
        <w:t xml:space="preserve">ασφαλιστικών επιχειρήσεων </w:t>
      </w:r>
      <w:r w:rsidR="0004510B">
        <w:rPr>
          <w:sz w:val="22"/>
          <w:szCs w:val="22"/>
          <w:lang w:val="el-GR"/>
        </w:rPr>
        <w:t>αυξή</w:t>
      </w:r>
      <w:r w:rsidR="009D23DB">
        <w:rPr>
          <w:sz w:val="22"/>
          <w:szCs w:val="22"/>
          <w:lang w:val="el-GR"/>
        </w:rPr>
        <w:t xml:space="preserve">θηκε </w:t>
      </w:r>
      <w:r w:rsidR="00DF1AD0">
        <w:rPr>
          <w:sz w:val="22"/>
          <w:szCs w:val="22"/>
          <w:lang w:val="el-GR"/>
        </w:rPr>
        <w:t xml:space="preserve">κατά </w:t>
      </w:r>
      <w:r w:rsidR="0004510B">
        <w:rPr>
          <w:sz w:val="22"/>
          <w:szCs w:val="22"/>
          <w:lang w:val="el-GR"/>
        </w:rPr>
        <w:t>44</w:t>
      </w:r>
      <w:r w:rsidR="002119D3">
        <w:rPr>
          <w:sz w:val="22"/>
          <w:szCs w:val="22"/>
          <w:lang w:val="el-GR"/>
        </w:rPr>
        <w:t>4</w:t>
      </w:r>
      <w:r w:rsidR="007B4C5C" w:rsidRPr="007B4C5C">
        <w:rPr>
          <w:sz w:val="22"/>
          <w:szCs w:val="22"/>
          <w:lang w:val="el-GR"/>
        </w:rPr>
        <w:t xml:space="preserve"> </w:t>
      </w:r>
      <w:r w:rsidR="00DF1AD0">
        <w:rPr>
          <w:sz w:val="22"/>
          <w:szCs w:val="22"/>
          <w:lang w:val="el-GR"/>
        </w:rPr>
        <w:t xml:space="preserve">εκατ. ευρώ σε σχέση με το προηγούμενο τρίμηνο και </w:t>
      </w:r>
      <w:r w:rsidRPr="00682D30">
        <w:rPr>
          <w:sz w:val="22"/>
          <w:szCs w:val="22"/>
          <w:lang w:val="el-GR"/>
        </w:rPr>
        <w:t>διαμορφώθηκε σ</w:t>
      </w:r>
      <w:r w:rsidR="00F55901">
        <w:rPr>
          <w:sz w:val="22"/>
          <w:szCs w:val="22"/>
          <w:lang w:val="el-GR"/>
        </w:rPr>
        <w:t>τα</w:t>
      </w:r>
      <w:r w:rsidRPr="00682D30">
        <w:rPr>
          <w:sz w:val="22"/>
          <w:szCs w:val="22"/>
          <w:lang w:val="el-GR"/>
        </w:rPr>
        <w:t xml:space="preserve"> </w:t>
      </w:r>
      <w:r w:rsidR="0004510B">
        <w:rPr>
          <w:sz w:val="22"/>
          <w:szCs w:val="22"/>
          <w:lang w:val="el-GR"/>
        </w:rPr>
        <w:t>21.503</w:t>
      </w:r>
      <w:r w:rsidR="007B4C5C" w:rsidRPr="006E2C34">
        <w:rPr>
          <w:sz w:val="22"/>
          <w:szCs w:val="22"/>
          <w:lang w:val="el-GR"/>
        </w:rPr>
        <w:t xml:space="preserve"> </w:t>
      </w:r>
      <w:r w:rsidRPr="00682D30">
        <w:rPr>
          <w:sz w:val="22"/>
          <w:szCs w:val="22"/>
          <w:lang w:val="el-GR"/>
        </w:rPr>
        <w:t>εκατ</w:t>
      </w:r>
      <w:r w:rsidR="0004510B">
        <w:rPr>
          <w:sz w:val="22"/>
          <w:szCs w:val="22"/>
          <w:lang w:val="el-GR"/>
        </w:rPr>
        <w:t>. ευρώ στο τέλος του β</w:t>
      </w:r>
      <w:r w:rsidRPr="00682D30">
        <w:rPr>
          <w:sz w:val="22"/>
          <w:szCs w:val="22"/>
          <w:lang w:val="el-GR"/>
        </w:rPr>
        <w:t xml:space="preserve">΄ </w:t>
      </w:r>
      <w:r w:rsidR="002119D3">
        <w:rPr>
          <w:sz w:val="22"/>
          <w:szCs w:val="22"/>
          <w:lang w:val="el-GR"/>
        </w:rPr>
        <w:t>τριμήνου του 2025</w:t>
      </w:r>
      <w:r w:rsidRPr="00682D30">
        <w:rPr>
          <w:sz w:val="22"/>
          <w:szCs w:val="22"/>
          <w:lang w:val="el-GR"/>
        </w:rPr>
        <w:t>.</w:t>
      </w:r>
      <w:r w:rsidRPr="00682D30">
        <w:rPr>
          <w:iCs/>
          <w:sz w:val="22"/>
          <w:szCs w:val="22"/>
          <w:lang w:val="el-GR"/>
        </w:rPr>
        <w:t xml:space="preserve"> </w:t>
      </w:r>
    </w:p>
    <w:p w14:paraId="4FF199D3" w14:textId="77777777" w:rsidR="00520777" w:rsidRPr="006950E4" w:rsidRDefault="00520777" w:rsidP="00520777">
      <w:pPr>
        <w:spacing w:line="360" w:lineRule="auto"/>
        <w:jc w:val="both"/>
        <w:rPr>
          <w:sz w:val="22"/>
          <w:szCs w:val="22"/>
          <w:lang w:val="el-GR"/>
        </w:rPr>
      </w:pPr>
      <w:r w:rsidRPr="006950E4">
        <w:rPr>
          <w:sz w:val="22"/>
          <w:szCs w:val="22"/>
          <w:lang w:val="el-GR"/>
        </w:rPr>
        <w:t>Αναλυτικότερα, οι συνολικές καταθέσεις των ασφαλιστικών επιχειρήσεων</w:t>
      </w:r>
      <w:r w:rsidR="0004510B">
        <w:rPr>
          <w:sz w:val="22"/>
          <w:szCs w:val="22"/>
          <w:lang w:val="el-GR"/>
        </w:rPr>
        <w:t xml:space="preserve"> αυξή</w:t>
      </w:r>
      <w:r w:rsidR="00D04309">
        <w:rPr>
          <w:sz w:val="22"/>
          <w:szCs w:val="22"/>
          <w:lang w:val="el-GR"/>
        </w:rPr>
        <w:t>θηκαν</w:t>
      </w:r>
      <w:r w:rsidRPr="006950E4">
        <w:rPr>
          <w:sz w:val="22"/>
          <w:szCs w:val="22"/>
          <w:lang w:val="el-GR"/>
        </w:rPr>
        <w:t xml:space="preserve"> κατά </w:t>
      </w:r>
      <w:r w:rsidR="002E03D7">
        <w:rPr>
          <w:sz w:val="22"/>
          <w:szCs w:val="22"/>
          <w:lang w:val="el-GR"/>
        </w:rPr>
        <w:t>24</w:t>
      </w:r>
      <w:r w:rsidR="00E23B21">
        <w:rPr>
          <w:sz w:val="22"/>
          <w:szCs w:val="22"/>
          <w:lang w:val="el-GR"/>
        </w:rPr>
        <w:t xml:space="preserve"> </w:t>
      </w:r>
      <w:r w:rsidRPr="006950E4">
        <w:rPr>
          <w:sz w:val="22"/>
          <w:szCs w:val="22"/>
          <w:lang w:val="el-GR"/>
        </w:rPr>
        <w:t>εκατ. ευρώ και διαμορφώθηκαν σ</w:t>
      </w:r>
      <w:r>
        <w:rPr>
          <w:sz w:val="22"/>
          <w:szCs w:val="22"/>
          <w:lang w:val="el-GR"/>
        </w:rPr>
        <w:t>τα</w:t>
      </w:r>
      <w:r w:rsidR="0004510B">
        <w:rPr>
          <w:sz w:val="22"/>
          <w:szCs w:val="22"/>
          <w:lang w:val="el-GR"/>
        </w:rPr>
        <w:t xml:space="preserve"> 553</w:t>
      </w:r>
      <w:r w:rsidR="00AC4969" w:rsidRPr="006950E4">
        <w:rPr>
          <w:sz w:val="22"/>
          <w:szCs w:val="22"/>
          <w:lang w:val="el-GR"/>
        </w:rPr>
        <w:t xml:space="preserve"> </w:t>
      </w:r>
      <w:r w:rsidRPr="006950E4">
        <w:rPr>
          <w:sz w:val="22"/>
          <w:szCs w:val="22"/>
          <w:lang w:val="el-GR"/>
        </w:rPr>
        <w:t xml:space="preserve">εκατ. ευρώ στο τέλος του </w:t>
      </w:r>
      <w:r w:rsidR="0004510B">
        <w:rPr>
          <w:sz w:val="22"/>
          <w:szCs w:val="22"/>
          <w:lang w:val="el-GR"/>
        </w:rPr>
        <w:t>β</w:t>
      </w:r>
      <w:r w:rsidR="00C71703">
        <w:rPr>
          <w:sz w:val="22"/>
          <w:szCs w:val="22"/>
          <w:lang w:val="el-GR"/>
        </w:rPr>
        <w:t>΄ τριμήνου του 2025</w:t>
      </w:r>
      <w:r w:rsidRPr="006950E4">
        <w:rPr>
          <w:sz w:val="22"/>
          <w:szCs w:val="22"/>
          <w:lang w:val="el-GR"/>
        </w:rPr>
        <w:t xml:space="preserve">. </w:t>
      </w:r>
      <w:r w:rsidRPr="006950E4">
        <w:rPr>
          <w:sz w:val="22"/>
          <w:szCs w:val="22"/>
          <w:lang w:val="en-US"/>
        </w:rPr>
        <w:t>O</w:t>
      </w:r>
      <w:r w:rsidRPr="006950E4">
        <w:rPr>
          <w:sz w:val="22"/>
          <w:szCs w:val="22"/>
          <w:lang w:val="el-GR"/>
        </w:rPr>
        <w:t>ι καταθέσεις στα πιστωτικά ιδρύματα του εσωτερικού</w:t>
      </w:r>
      <w:r w:rsidR="002731A5">
        <w:rPr>
          <w:sz w:val="22"/>
          <w:szCs w:val="22"/>
          <w:lang w:val="el-GR"/>
        </w:rPr>
        <w:t xml:space="preserve"> </w:t>
      </w:r>
      <w:r w:rsidR="00C10AAE">
        <w:rPr>
          <w:sz w:val="22"/>
          <w:szCs w:val="22"/>
          <w:lang w:val="el-GR"/>
        </w:rPr>
        <w:t>μειώ</w:t>
      </w:r>
      <w:r w:rsidR="00E23B21">
        <w:rPr>
          <w:sz w:val="22"/>
          <w:szCs w:val="22"/>
          <w:lang w:val="el-GR"/>
        </w:rPr>
        <w:t>θηκαν</w:t>
      </w:r>
      <w:r w:rsidR="00AC4969">
        <w:rPr>
          <w:sz w:val="22"/>
          <w:szCs w:val="22"/>
          <w:lang w:val="el-GR"/>
        </w:rPr>
        <w:t xml:space="preserve"> κατά </w:t>
      </w:r>
      <w:r w:rsidR="0004510B">
        <w:rPr>
          <w:sz w:val="22"/>
          <w:szCs w:val="22"/>
          <w:lang w:val="el-GR"/>
        </w:rPr>
        <w:t>49</w:t>
      </w:r>
      <w:r w:rsidR="00AC4969">
        <w:rPr>
          <w:sz w:val="22"/>
          <w:szCs w:val="22"/>
          <w:lang w:val="el-GR"/>
        </w:rPr>
        <w:t xml:space="preserve"> εκατ. ευρώ και διαμορφώθηκαν </w:t>
      </w:r>
      <w:r w:rsidR="0004510B">
        <w:rPr>
          <w:sz w:val="22"/>
          <w:szCs w:val="22"/>
          <w:lang w:val="el-GR"/>
        </w:rPr>
        <w:t>στα 341</w:t>
      </w:r>
      <w:r w:rsidR="002731A5">
        <w:rPr>
          <w:sz w:val="22"/>
          <w:szCs w:val="22"/>
          <w:lang w:val="el-GR"/>
        </w:rPr>
        <w:t xml:space="preserve"> εκατ. ευρώ</w:t>
      </w:r>
      <w:r w:rsidRPr="006950E4">
        <w:rPr>
          <w:sz w:val="22"/>
          <w:szCs w:val="22"/>
          <w:lang w:val="el-GR"/>
        </w:rPr>
        <w:t>, ενώ οι καταθέσεις στα πιστωτικά ιδρύματα του εξωτερικού</w:t>
      </w:r>
      <w:r w:rsidR="002E16AE" w:rsidRPr="008A2A66">
        <w:rPr>
          <w:sz w:val="22"/>
          <w:szCs w:val="22"/>
          <w:lang w:val="el-GR"/>
        </w:rPr>
        <w:t xml:space="preserve"> </w:t>
      </w:r>
      <w:r w:rsidR="0004510B">
        <w:rPr>
          <w:sz w:val="22"/>
          <w:szCs w:val="22"/>
          <w:lang w:val="el-GR"/>
        </w:rPr>
        <w:t>αυξή</w:t>
      </w:r>
      <w:r w:rsidR="000103ED">
        <w:rPr>
          <w:sz w:val="22"/>
          <w:szCs w:val="22"/>
          <w:lang w:val="el-GR"/>
        </w:rPr>
        <w:t>θηκαν κα</w:t>
      </w:r>
      <w:r w:rsidR="00716FF3">
        <w:rPr>
          <w:sz w:val="22"/>
          <w:szCs w:val="22"/>
          <w:lang w:val="el-GR"/>
        </w:rPr>
        <w:t xml:space="preserve">τά </w:t>
      </w:r>
      <w:r w:rsidR="0004510B">
        <w:rPr>
          <w:sz w:val="22"/>
          <w:szCs w:val="22"/>
          <w:lang w:val="el-GR"/>
        </w:rPr>
        <w:t>73</w:t>
      </w:r>
      <w:r w:rsidR="00AA7461">
        <w:rPr>
          <w:sz w:val="22"/>
          <w:szCs w:val="22"/>
          <w:lang w:val="el-GR"/>
        </w:rPr>
        <w:t xml:space="preserve"> εκατ. ευρώ και διαμορφώθηκαν </w:t>
      </w:r>
      <w:r w:rsidR="0004510B">
        <w:rPr>
          <w:sz w:val="22"/>
          <w:szCs w:val="22"/>
          <w:lang w:val="el-GR"/>
        </w:rPr>
        <w:t>στα 212</w:t>
      </w:r>
      <w:r w:rsidR="002731A5">
        <w:rPr>
          <w:sz w:val="22"/>
          <w:szCs w:val="22"/>
          <w:lang w:val="el-GR"/>
        </w:rPr>
        <w:t xml:space="preserve"> εκατ. ευρώ</w:t>
      </w:r>
      <w:r w:rsidRPr="006950E4">
        <w:rPr>
          <w:sz w:val="22"/>
          <w:szCs w:val="22"/>
          <w:lang w:val="el-GR"/>
        </w:rPr>
        <w:t xml:space="preserve">. Το ποσοστό των καταθέσεων επί του συνολικού ενεργητικού </w:t>
      </w:r>
      <w:r w:rsidR="00F2043E">
        <w:rPr>
          <w:sz w:val="22"/>
          <w:szCs w:val="22"/>
          <w:lang w:val="el-GR"/>
        </w:rPr>
        <w:t xml:space="preserve">διαμορφώθηκε </w:t>
      </w:r>
      <w:r w:rsidR="00465E98">
        <w:rPr>
          <w:sz w:val="22"/>
          <w:szCs w:val="22"/>
          <w:lang w:val="el-GR"/>
        </w:rPr>
        <w:t>στο 2,6% το β</w:t>
      </w:r>
      <w:r w:rsidR="00E526BA" w:rsidRPr="00682D30">
        <w:rPr>
          <w:sz w:val="22"/>
          <w:szCs w:val="22"/>
          <w:lang w:val="el-GR"/>
        </w:rPr>
        <w:t>΄</w:t>
      </w:r>
      <w:r w:rsidR="00BB2544">
        <w:rPr>
          <w:sz w:val="22"/>
          <w:szCs w:val="22"/>
          <w:lang w:val="el-GR"/>
        </w:rPr>
        <w:t xml:space="preserve"> τρίμηνο</w:t>
      </w:r>
      <w:r w:rsidR="0019580D">
        <w:rPr>
          <w:sz w:val="22"/>
          <w:szCs w:val="22"/>
          <w:lang w:val="el-GR"/>
        </w:rPr>
        <w:t xml:space="preserve"> του 2025</w:t>
      </w:r>
      <w:r w:rsidR="008D3B5F" w:rsidRPr="006950E4">
        <w:rPr>
          <w:sz w:val="22"/>
          <w:szCs w:val="22"/>
          <w:lang w:val="el-GR"/>
        </w:rPr>
        <w:t>.</w:t>
      </w:r>
    </w:p>
    <w:p w14:paraId="02A703E8" w14:textId="77777777" w:rsidR="00520777" w:rsidRPr="00B22E5E" w:rsidRDefault="00520777" w:rsidP="00520777">
      <w:pPr>
        <w:spacing w:line="360" w:lineRule="auto"/>
        <w:jc w:val="both"/>
        <w:rPr>
          <w:sz w:val="22"/>
          <w:szCs w:val="22"/>
          <w:lang w:val="el-GR"/>
        </w:rPr>
      </w:pPr>
      <w:r w:rsidRPr="006950E4">
        <w:rPr>
          <w:sz w:val="22"/>
          <w:szCs w:val="22"/>
          <w:lang w:val="el-GR"/>
        </w:rPr>
        <w:t xml:space="preserve">Η αξία των συνολικών τοποθετήσεων των ασφαλιστικών επιχειρήσεων σε χρεωστικούς τίτλους </w:t>
      </w:r>
      <w:r w:rsidR="002E03D7">
        <w:rPr>
          <w:sz w:val="22"/>
          <w:szCs w:val="22"/>
          <w:lang w:val="el-GR"/>
        </w:rPr>
        <w:t>αυξή</w:t>
      </w:r>
      <w:r w:rsidR="00AA7461">
        <w:rPr>
          <w:sz w:val="22"/>
          <w:szCs w:val="22"/>
          <w:lang w:val="el-GR"/>
        </w:rPr>
        <w:t>θηκε</w:t>
      </w:r>
      <w:r w:rsidR="00F6275A">
        <w:rPr>
          <w:sz w:val="22"/>
          <w:szCs w:val="22"/>
          <w:lang w:val="el-GR"/>
        </w:rPr>
        <w:t xml:space="preserve"> σ</w:t>
      </w:r>
      <w:r w:rsidR="006A30C7">
        <w:rPr>
          <w:sz w:val="22"/>
          <w:szCs w:val="22"/>
          <w:lang w:val="el-GR"/>
        </w:rPr>
        <w:t>τα</w:t>
      </w:r>
      <w:r w:rsidR="00F6275A">
        <w:rPr>
          <w:sz w:val="22"/>
          <w:szCs w:val="22"/>
          <w:lang w:val="el-GR"/>
        </w:rPr>
        <w:t xml:space="preserve"> </w:t>
      </w:r>
      <w:r w:rsidR="00172659">
        <w:rPr>
          <w:sz w:val="22"/>
          <w:szCs w:val="22"/>
          <w:lang w:val="el-GR"/>
        </w:rPr>
        <w:t>10.</w:t>
      </w:r>
      <w:r w:rsidR="002E03D7">
        <w:rPr>
          <w:sz w:val="22"/>
          <w:szCs w:val="22"/>
          <w:lang w:val="el-GR"/>
        </w:rPr>
        <w:t>621</w:t>
      </w:r>
      <w:r w:rsidR="006F7A91">
        <w:rPr>
          <w:sz w:val="22"/>
          <w:szCs w:val="22"/>
          <w:lang w:val="el-GR"/>
        </w:rPr>
        <w:t xml:space="preserve"> </w:t>
      </w:r>
      <w:r w:rsidRPr="006950E4">
        <w:rPr>
          <w:sz w:val="22"/>
          <w:szCs w:val="22"/>
          <w:lang w:val="el-GR"/>
        </w:rPr>
        <w:t xml:space="preserve">εκατ. ευρώ στο τέλος του </w:t>
      </w:r>
      <w:r w:rsidR="002E03D7">
        <w:rPr>
          <w:sz w:val="22"/>
          <w:szCs w:val="22"/>
          <w:lang w:val="el-GR"/>
        </w:rPr>
        <w:t>β</w:t>
      </w:r>
      <w:r w:rsidRPr="006950E4">
        <w:rPr>
          <w:sz w:val="22"/>
          <w:szCs w:val="22"/>
          <w:lang w:val="el-GR"/>
        </w:rPr>
        <w:t>΄ τριμήνου του 202</w:t>
      </w:r>
      <w:r w:rsidR="0019580D">
        <w:rPr>
          <w:sz w:val="22"/>
          <w:szCs w:val="22"/>
          <w:lang w:val="el-GR"/>
        </w:rPr>
        <w:t>5</w:t>
      </w:r>
      <w:r w:rsidRPr="006950E4">
        <w:rPr>
          <w:sz w:val="22"/>
          <w:szCs w:val="22"/>
          <w:lang w:val="el-GR"/>
        </w:rPr>
        <w:t xml:space="preserve">, έναντι </w:t>
      </w:r>
      <w:r w:rsidR="002E03D7">
        <w:rPr>
          <w:sz w:val="22"/>
          <w:szCs w:val="22"/>
          <w:lang w:val="el-GR"/>
        </w:rPr>
        <w:t>10.523</w:t>
      </w:r>
      <w:r w:rsidR="00172659">
        <w:rPr>
          <w:sz w:val="22"/>
          <w:szCs w:val="22"/>
          <w:lang w:val="el-GR"/>
        </w:rPr>
        <w:t xml:space="preserve"> </w:t>
      </w:r>
      <w:r w:rsidRPr="006950E4">
        <w:rPr>
          <w:sz w:val="22"/>
          <w:szCs w:val="22"/>
          <w:lang w:val="el-GR"/>
        </w:rPr>
        <w:t>εκατ. ευρώ το προηγούμενο τρίμηνο</w:t>
      </w:r>
      <w:r w:rsidR="005B4F98">
        <w:rPr>
          <w:sz w:val="22"/>
          <w:szCs w:val="22"/>
          <w:lang w:val="el-GR"/>
        </w:rPr>
        <w:t>,</w:t>
      </w:r>
      <w:r w:rsidRPr="006950E4">
        <w:rPr>
          <w:sz w:val="22"/>
          <w:szCs w:val="22"/>
          <w:lang w:val="el-GR"/>
        </w:rPr>
        <w:t xml:space="preserve"> </w:t>
      </w:r>
      <w:r w:rsidR="0098101E" w:rsidRPr="00B1024B">
        <w:rPr>
          <w:sz w:val="22"/>
          <w:szCs w:val="22"/>
          <w:lang w:val="el-GR"/>
        </w:rPr>
        <w:t xml:space="preserve">εξέλιξη </w:t>
      </w:r>
      <w:r w:rsidR="005B4F98">
        <w:rPr>
          <w:sz w:val="22"/>
          <w:szCs w:val="22"/>
          <w:lang w:val="el-GR"/>
        </w:rPr>
        <w:t xml:space="preserve">που </w:t>
      </w:r>
      <w:r w:rsidRPr="00B1024B">
        <w:rPr>
          <w:sz w:val="22"/>
          <w:szCs w:val="22"/>
          <w:lang w:val="el-GR"/>
        </w:rPr>
        <w:t xml:space="preserve">οφείλεται </w:t>
      </w:r>
      <w:r w:rsidR="00C76B67">
        <w:rPr>
          <w:sz w:val="22"/>
          <w:szCs w:val="22"/>
          <w:lang w:val="el-GR"/>
        </w:rPr>
        <w:t xml:space="preserve">κυρίως σε </w:t>
      </w:r>
      <w:r w:rsidR="009A2846">
        <w:rPr>
          <w:sz w:val="22"/>
          <w:szCs w:val="22"/>
          <w:lang w:val="el-GR"/>
        </w:rPr>
        <w:t>άνοδο των αποτιμήσεων των ομολόγων</w:t>
      </w:r>
      <w:r w:rsidR="00AD1C91">
        <w:rPr>
          <w:sz w:val="22"/>
          <w:szCs w:val="22"/>
          <w:lang w:val="el-GR"/>
        </w:rPr>
        <w:t xml:space="preserve"> τόσο του εσωτερικού όσο και του εξωτερικού</w:t>
      </w:r>
      <w:r w:rsidR="00C71703">
        <w:rPr>
          <w:sz w:val="22"/>
          <w:szCs w:val="22"/>
          <w:lang w:val="el-GR"/>
        </w:rPr>
        <w:t>.</w:t>
      </w:r>
      <w:r w:rsidR="006B1229">
        <w:rPr>
          <w:sz w:val="22"/>
          <w:szCs w:val="22"/>
          <w:lang w:val="el-GR"/>
        </w:rPr>
        <w:t xml:space="preserve"> </w:t>
      </w:r>
      <w:r w:rsidRPr="006950E4">
        <w:rPr>
          <w:sz w:val="22"/>
          <w:szCs w:val="22"/>
          <w:lang w:val="el-GR"/>
        </w:rPr>
        <w:t xml:space="preserve">Το ποσοστό των χρεωστικών τίτλων επί του συνολικού ενεργητικού </w:t>
      </w:r>
      <w:r w:rsidR="007A6ACF">
        <w:rPr>
          <w:sz w:val="22"/>
          <w:szCs w:val="22"/>
          <w:lang w:val="el-GR"/>
        </w:rPr>
        <w:t>μειώ</w:t>
      </w:r>
      <w:r w:rsidR="00C76B67">
        <w:rPr>
          <w:sz w:val="22"/>
          <w:szCs w:val="22"/>
          <w:lang w:val="el-GR"/>
        </w:rPr>
        <w:t xml:space="preserve">θηκε </w:t>
      </w:r>
      <w:r w:rsidR="002E16AE" w:rsidRPr="006950E4">
        <w:rPr>
          <w:sz w:val="22"/>
          <w:szCs w:val="22"/>
          <w:lang w:val="el-GR"/>
        </w:rPr>
        <w:t>σ</w:t>
      </w:r>
      <w:r w:rsidR="0078773A">
        <w:rPr>
          <w:sz w:val="22"/>
          <w:szCs w:val="22"/>
          <w:lang w:val="el-GR"/>
        </w:rPr>
        <w:t>το</w:t>
      </w:r>
      <w:r w:rsidR="002E16AE">
        <w:rPr>
          <w:sz w:val="22"/>
          <w:szCs w:val="22"/>
          <w:lang w:val="el-GR"/>
        </w:rPr>
        <w:t xml:space="preserve"> </w:t>
      </w:r>
      <w:r w:rsidR="009A2846">
        <w:rPr>
          <w:sz w:val="22"/>
          <w:szCs w:val="22"/>
          <w:lang w:val="el-GR"/>
        </w:rPr>
        <w:t>49,4</w:t>
      </w:r>
      <w:r w:rsidRPr="006950E4">
        <w:rPr>
          <w:sz w:val="22"/>
          <w:szCs w:val="22"/>
          <w:lang w:val="el-GR"/>
        </w:rPr>
        <w:t>%</w:t>
      </w:r>
      <w:r w:rsidR="00B514A2">
        <w:rPr>
          <w:sz w:val="22"/>
          <w:szCs w:val="22"/>
          <w:lang w:val="el-GR"/>
        </w:rPr>
        <w:t xml:space="preserve"> </w:t>
      </w:r>
      <w:r w:rsidR="00B514A2" w:rsidRPr="006950E4">
        <w:rPr>
          <w:sz w:val="22"/>
          <w:szCs w:val="22"/>
          <w:lang w:val="el-GR"/>
        </w:rPr>
        <w:t xml:space="preserve">το </w:t>
      </w:r>
      <w:r w:rsidR="009A2846">
        <w:rPr>
          <w:sz w:val="22"/>
          <w:szCs w:val="22"/>
          <w:lang w:val="el-GR"/>
        </w:rPr>
        <w:t>β</w:t>
      </w:r>
      <w:r w:rsidR="00B514A2" w:rsidRPr="006950E4">
        <w:rPr>
          <w:sz w:val="22"/>
          <w:szCs w:val="22"/>
          <w:lang w:val="el-GR"/>
        </w:rPr>
        <w:t>΄ τρίμηνο</w:t>
      </w:r>
      <w:r w:rsidR="00C71703">
        <w:rPr>
          <w:sz w:val="22"/>
          <w:szCs w:val="22"/>
          <w:lang w:val="el-GR"/>
        </w:rPr>
        <w:t xml:space="preserve"> του 2025</w:t>
      </w:r>
      <w:r w:rsidR="00B648BA">
        <w:rPr>
          <w:sz w:val="22"/>
          <w:szCs w:val="22"/>
          <w:lang w:val="el-GR"/>
        </w:rPr>
        <w:t>,</w:t>
      </w:r>
      <w:r w:rsidR="009A2846">
        <w:rPr>
          <w:sz w:val="22"/>
          <w:szCs w:val="22"/>
          <w:lang w:val="el-GR"/>
        </w:rPr>
        <w:t xml:space="preserve"> έναντι 50,0</w:t>
      </w:r>
      <w:r w:rsidR="00C76B67">
        <w:rPr>
          <w:sz w:val="22"/>
          <w:szCs w:val="22"/>
          <w:lang w:val="el-GR"/>
        </w:rPr>
        <w:t xml:space="preserve">% </w:t>
      </w:r>
      <w:r w:rsidR="00C76B67" w:rsidRPr="006950E4">
        <w:rPr>
          <w:sz w:val="22"/>
          <w:szCs w:val="22"/>
          <w:lang w:val="el-GR"/>
        </w:rPr>
        <w:t>το προηγούμενο τρίμηνο.</w:t>
      </w:r>
    </w:p>
    <w:p w14:paraId="5C4D7CFF" w14:textId="77777777" w:rsidR="00C904E5" w:rsidRPr="006950E4" w:rsidRDefault="00520777" w:rsidP="00C904E5">
      <w:pPr>
        <w:spacing w:line="360" w:lineRule="auto"/>
        <w:jc w:val="both"/>
        <w:rPr>
          <w:sz w:val="22"/>
          <w:szCs w:val="22"/>
          <w:lang w:val="el-GR"/>
        </w:rPr>
      </w:pPr>
      <w:r w:rsidRPr="006950E4">
        <w:rPr>
          <w:sz w:val="22"/>
          <w:szCs w:val="22"/>
          <w:lang w:val="el-GR"/>
        </w:rPr>
        <w:t>Η αξία των συνολικών τοποθετήσεων σ</w:t>
      </w:r>
      <w:r w:rsidR="00B25B99">
        <w:rPr>
          <w:sz w:val="22"/>
          <w:szCs w:val="22"/>
          <w:lang w:val="el-GR"/>
        </w:rPr>
        <w:t xml:space="preserve">ε μερίδια αμοιβαίων κεφαλαίων </w:t>
      </w:r>
      <w:r w:rsidR="00404404">
        <w:rPr>
          <w:sz w:val="22"/>
          <w:szCs w:val="22"/>
          <w:lang w:val="el-GR"/>
        </w:rPr>
        <w:t xml:space="preserve">αυξήθηκε </w:t>
      </w:r>
      <w:r w:rsidR="00CA360B">
        <w:rPr>
          <w:sz w:val="22"/>
          <w:szCs w:val="22"/>
          <w:lang w:val="el-GR"/>
        </w:rPr>
        <w:t>στα</w:t>
      </w:r>
      <w:r w:rsidRPr="006950E4">
        <w:rPr>
          <w:sz w:val="22"/>
          <w:szCs w:val="22"/>
          <w:lang w:val="el-GR"/>
        </w:rPr>
        <w:t xml:space="preserve"> </w:t>
      </w:r>
      <w:r w:rsidR="0019580D">
        <w:rPr>
          <w:sz w:val="22"/>
          <w:szCs w:val="22"/>
          <w:lang w:val="el-GR"/>
        </w:rPr>
        <w:t>6</w:t>
      </w:r>
      <w:r w:rsidR="009A2846">
        <w:rPr>
          <w:sz w:val="22"/>
          <w:szCs w:val="22"/>
          <w:lang w:val="el-GR"/>
        </w:rPr>
        <w:t>.808</w:t>
      </w:r>
      <w:r w:rsidR="004A585A">
        <w:rPr>
          <w:sz w:val="22"/>
          <w:szCs w:val="22"/>
          <w:lang w:val="el-GR"/>
        </w:rPr>
        <w:t xml:space="preserve"> </w:t>
      </w:r>
      <w:r w:rsidR="009A2846">
        <w:rPr>
          <w:sz w:val="22"/>
          <w:szCs w:val="22"/>
          <w:lang w:val="el-GR"/>
        </w:rPr>
        <w:t>εκατ. ευρώ, έναντι 6.438</w:t>
      </w:r>
      <w:r w:rsidR="00B25B99">
        <w:rPr>
          <w:sz w:val="22"/>
          <w:szCs w:val="22"/>
          <w:lang w:val="el-GR"/>
        </w:rPr>
        <w:t xml:space="preserve"> εκατ. ευρώ το προηγούμενο τρίμηνο</w:t>
      </w:r>
      <w:r w:rsidR="00CC6E43">
        <w:rPr>
          <w:sz w:val="22"/>
          <w:szCs w:val="22"/>
          <w:lang w:val="el-GR"/>
        </w:rPr>
        <w:t>,</w:t>
      </w:r>
      <w:r w:rsidR="00B25B99">
        <w:rPr>
          <w:sz w:val="22"/>
          <w:szCs w:val="22"/>
          <w:lang w:val="el-GR"/>
        </w:rPr>
        <w:t xml:space="preserve"> </w:t>
      </w:r>
      <w:r w:rsidRPr="006950E4">
        <w:rPr>
          <w:sz w:val="22"/>
          <w:szCs w:val="22"/>
          <w:lang w:val="el-GR"/>
        </w:rPr>
        <w:t>και το ποσοστό τους επί του συνόλου του ενεργητικού</w:t>
      </w:r>
      <w:r w:rsidR="00C904E5">
        <w:rPr>
          <w:sz w:val="22"/>
          <w:szCs w:val="22"/>
          <w:lang w:val="el-GR"/>
        </w:rPr>
        <w:t xml:space="preserve"> </w:t>
      </w:r>
      <w:r w:rsidR="00316F13">
        <w:rPr>
          <w:sz w:val="22"/>
          <w:szCs w:val="22"/>
          <w:lang w:val="el-GR"/>
        </w:rPr>
        <w:t>αυξήθηκε</w:t>
      </w:r>
      <w:r w:rsidR="009A2846">
        <w:rPr>
          <w:sz w:val="22"/>
          <w:szCs w:val="22"/>
          <w:lang w:val="el-GR"/>
        </w:rPr>
        <w:t xml:space="preserve"> στο 31,7% το β</w:t>
      </w:r>
      <w:r w:rsidR="00E526BA" w:rsidRPr="00682D30">
        <w:rPr>
          <w:sz w:val="22"/>
          <w:szCs w:val="22"/>
          <w:lang w:val="el-GR"/>
        </w:rPr>
        <w:t>΄</w:t>
      </w:r>
      <w:r w:rsidR="00B25B99">
        <w:rPr>
          <w:sz w:val="22"/>
          <w:szCs w:val="22"/>
          <w:lang w:val="el-GR"/>
        </w:rPr>
        <w:t xml:space="preserve"> τρίμηνο</w:t>
      </w:r>
      <w:r w:rsidR="00C71703">
        <w:rPr>
          <w:sz w:val="22"/>
          <w:szCs w:val="22"/>
          <w:lang w:val="el-GR"/>
        </w:rPr>
        <w:t xml:space="preserve"> του 2025</w:t>
      </w:r>
      <w:r w:rsidR="00600570">
        <w:rPr>
          <w:sz w:val="22"/>
          <w:szCs w:val="22"/>
          <w:lang w:val="el-GR"/>
        </w:rPr>
        <w:t>,</w:t>
      </w:r>
      <w:r w:rsidR="009A2846">
        <w:rPr>
          <w:sz w:val="22"/>
          <w:szCs w:val="22"/>
          <w:lang w:val="el-GR"/>
        </w:rPr>
        <w:t xml:space="preserve"> έναντι 30,6</w:t>
      </w:r>
      <w:r w:rsidR="00C904E5">
        <w:rPr>
          <w:sz w:val="22"/>
          <w:szCs w:val="22"/>
          <w:lang w:val="el-GR"/>
        </w:rPr>
        <w:t xml:space="preserve">% </w:t>
      </w:r>
      <w:r w:rsidR="00C904E5" w:rsidRPr="006950E4">
        <w:rPr>
          <w:sz w:val="22"/>
          <w:szCs w:val="22"/>
          <w:lang w:val="el-GR"/>
        </w:rPr>
        <w:t>το προηγούμενο τρίμηνο.</w:t>
      </w:r>
      <w:r w:rsidR="00404404" w:rsidRPr="00404404">
        <w:rPr>
          <w:sz w:val="22"/>
          <w:szCs w:val="22"/>
          <w:lang w:val="el-GR"/>
        </w:rPr>
        <w:t xml:space="preserve"> Η αύξη</w:t>
      </w:r>
      <w:r w:rsidR="00404404">
        <w:rPr>
          <w:sz w:val="22"/>
          <w:szCs w:val="22"/>
          <w:lang w:val="el-GR"/>
        </w:rPr>
        <w:t xml:space="preserve">ση της αξίας των τοποθετήσεων </w:t>
      </w:r>
      <w:r w:rsidR="007A6ACF">
        <w:rPr>
          <w:sz w:val="22"/>
          <w:szCs w:val="22"/>
          <w:lang w:val="el-GR"/>
        </w:rPr>
        <w:t xml:space="preserve">οφείλεται </w:t>
      </w:r>
      <w:r w:rsidR="00FC7EC1">
        <w:rPr>
          <w:sz w:val="22"/>
          <w:szCs w:val="22"/>
          <w:lang w:val="el-GR"/>
        </w:rPr>
        <w:t xml:space="preserve">κυρίως </w:t>
      </w:r>
      <w:r w:rsidR="009A2846">
        <w:rPr>
          <w:sz w:val="22"/>
          <w:szCs w:val="22"/>
          <w:lang w:val="el-GR"/>
        </w:rPr>
        <w:t>σε άνοδο των αποτιμ</w:t>
      </w:r>
      <w:r w:rsidR="007A7B23">
        <w:rPr>
          <w:sz w:val="22"/>
          <w:szCs w:val="22"/>
          <w:lang w:val="el-GR"/>
        </w:rPr>
        <w:t xml:space="preserve">ήσεων </w:t>
      </w:r>
      <w:r w:rsidR="009A2846">
        <w:rPr>
          <w:sz w:val="22"/>
          <w:szCs w:val="22"/>
          <w:lang w:val="el-GR"/>
        </w:rPr>
        <w:t>μεριδίων</w:t>
      </w:r>
      <w:r w:rsidR="007A7B23">
        <w:rPr>
          <w:sz w:val="22"/>
          <w:szCs w:val="22"/>
          <w:lang w:val="el-GR"/>
        </w:rPr>
        <w:t xml:space="preserve"> του εσωτερικού</w:t>
      </w:r>
      <w:r w:rsidR="0078773A">
        <w:rPr>
          <w:sz w:val="22"/>
          <w:szCs w:val="22"/>
          <w:lang w:val="el-GR"/>
        </w:rPr>
        <w:t>,</w:t>
      </w:r>
      <w:r w:rsidR="009A2846">
        <w:rPr>
          <w:sz w:val="22"/>
          <w:szCs w:val="22"/>
          <w:lang w:val="el-GR"/>
        </w:rPr>
        <w:t xml:space="preserve"> αλλά και των λοιπών χωρών της ζώνης του ευρώ</w:t>
      </w:r>
      <w:r w:rsidR="0078773A">
        <w:rPr>
          <w:sz w:val="22"/>
          <w:szCs w:val="22"/>
          <w:lang w:val="el-GR"/>
        </w:rPr>
        <w:t>,</w:t>
      </w:r>
      <w:r w:rsidR="009A2846">
        <w:rPr>
          <w:sz w:val="22"/>
          <w:szCs w:val="22"/>
          <w:lang w:val="el-GR"/>
        </w:rPr>
        <w:t xml:space="preserve"> </w:t>
      </w:r>
      <w:r w:rsidR="00F2043E">
        <w:rPr>
          <w:sz w:val="22"/>
          <w:szCs w:val="22"/>
          <w:lang w:val="el-GR"/>
        </w:rPr>
        <w:t xml:space="preserve">καθώς </w:t>
      </w:r>
      <w:r w:rsidR="009A2846">
        <w:rPr>
          <w:sz w:val="22"/>
          <w:szCs w:val="22"/>
          <w:lang w:val="el-GR"/>
        </w:rPr>
        <w:t xml:space="preserve">και </w:t>
      </w:r>
      <w:r w:rsidR="007A6ACF">
        <w:rPr>
          <w:sz w:val="22"/>
          <w:szCs w:val="22"/>
          <w:lang w:val="el-GR"/>
        </w:rPr>
        <w:t xml:space="preserve">σε καθαρές </w:t>
      </w:r>
      <w:r w:rsidR="004C3CD2">
        <w:rPr>
          <w:sz w:val="22"/>
          <w:szCs w:val="22"/>
          <w:lang w:val="el-GR"/>
        </w:rPr>
        <w:t>αγορές</w:t>
      </w:r>
      <w:r w:rsidR="00826F93">
        <w:rPr>
          <w:sz w:val="22"/>
          <w:szCs w:val="22"/>
          <w:lang w:val="el-GR"/>
        </w:rPr>
        <w:t xml:space="preserve"> </w:t>
      </w:r>
      <w:r w:rsidR="004C3CD2">
        <w:rPr>
          <w:sz w:val="22"/>
          <w:szCs w:val="22"/>
          <w:lang w:val="el-GR"/>
        </w:rPr>
        <w:t xml:space="preserve">μεριδίων </w:t>
      </w:r>
      <w:r w:rsidR="007F6D74">
        <w:rPr>
          <w:sz w:val="22"/>
          <w:szCs w:val="22"/>
          <w:lang w:val="el-GR"/>
        </w:rPr>
        <w:t>εξωτερικού</w:t>
      </w:r>
      <w:r w:rsidR="007A6ACF">
        <w:rPr>
          <w:sz w:val="22"/>
          <w:szCs w:val="22"/>
          <w:lang w:val="el-GR"/>
        </w:rPr>
        <w:t>.</w:t>
      </w:r>
    </w:p>
    <w:p w14:paraId="23C138CE" w14:textId="77777777" w:rsidR="00520777" w:rsidRPr="006950E4" w:rsidRDefault="00520777" w:rsidP="00520777">
      <w:pPr>
        <w:spacing w:line="360" w:lineRule="auto"/>
        <w:jc w:val="both"/>
        <w:rPr>
          <w:sz w:val="22"/>
          <w:szCs w:val="22"/>
          <w:lang w:val="el-GR"/>
        </w:rPr>
      </w:pPr>
      <w:r w:rsidRPr="006950E4">
        <w:rPr>
          <w:sz w:val="22"/>
          <w:szCs w:val="22"/>
          <w:lang w:val="el-GR"/>
        </w:rPr>
        <w:lastRenderedPageBreak/>
        <w:t>Η αξία των συνολικών τοποθετήσεων σε μετοχές και λοιπ</w:t>
      </w:r>
      <w:r w:rsidR="00871F0B">
        <w:rPr>
          <w:sz w:val="22"/>
          <w:szCs w:val="22"/>
          <w:lang w:val="el-GR"/>
        </w:rPr>
        <w:t>ά μέσα κυριότητας</w:t>
      </w:r>
      <w:r w:rsidRPr="006950E4">
        <w:rPr>
          <w:sz w:val="22"/>
          <w:szCs w:val="22"/>
          <w:lang w:val="el-GR"/>
        </w:rPr>
        <w:t xml:space="preserve"> </w:t>
      </w:r>
      <w:r w:rsidR="00826F93">
        <w:rPr>
          <w:sz w:val="22"/>
          <w:szCs w:val="22"/>
          <w:lang w:val="el-GR"/>
        </w:rPr>
        <w:t>αυξή</w:t>
      </w:r>
      <w:r w:rsidR="004A5226">
        <w:rPr>
          <w:sz w:val="22"/>
          <w:szCs w:val="22"/>
          <w:lang w:val="el-GR"/>
        </w:rPr>
        <w:t xml:space="preserve">θηκε </w:t>
      </w:r>
      <w:r w:rsidR="006A30C7">
        <w:rPr>
          <w:sz w:val="22"/>
          <w:szCs w:val="22"/>
          <w:lang w:val="el-GR"/>
        </w:rPr>
        <w:t>στα</w:t>
      </w:r>
      <w:r w:rsidRPr="006950E4">
        <w:rPr>
          <w:sz w:val="22"/>
          <w:szCs w:val="22"/>
          <w:lang w:val="el-GR"/>
        </w:rPr>
        <w:t xml:space="preserve"> </w:t>
      </w:r>
      <w:r w:rsidR="007A7B23">
        <w:rPr>
          <w:sz w:val="22"/>
          <w:szCs w:val="22"/>
          <w:lang w:val="el-GR"/>
        </w:rPr>
        <w:t>1.057</w:t>
      </w:r>
      <w:r w:rsidRPr="006950E4">
        <w:rPr>
          <w:sz w:val="22"/>
          <w:szCs w:val="22"/>
          <w:lang w:val="el-GR"/>
        </w:rPr>
        <w:t xml:space="preserve"> εκατ. ευρώ, έναντι </w:t>
      </w:r>
      <w:r w:rsidR="007A7B23">
        <w:rPr>
          <w:sz w:val="22"/>
          <w:szCs w:val="22"/>
          <w:lang w:val="el-GR"/>
        </w:rPr>
        <w:t>1.016</w:t>
      </w:r>
      <w:r w:rsidRPr="006950E4">
        <w:rPr>
          <w:sz w:val="22"/>
          <w:szCs w:val="22"/>
          <w:lang w:val="el-GR"/>
        </w:rPr>
        <w:t xml:space="preserve"> εκ</w:t>
      </w:r>
      <w:r w:rsidR="004A5226">
        <w:rPr>
          <w:sz w:val="22"/>
          <w:szCs w:val="22"/>
          <w:lang w:val="el-GR"/>
        </w:rPr>
        <w:t>ατ. ευρώ το προηγούμενο τρίμηνο</w:t>
      </w:r>
      <w:r w:rsidR="00404404">
        <w:rPr>
          <w:sz w:val="22"/>
          <w:szCs w:val="22"/>
          <w:lang w:val="el-GR"/>
        </w:rPr>
        <w:t xml:space="preserve">, εξέλιξη που οφείλεται </w:t>
      </w:r>
      <w:r w:rsidR="00826F93">
        <w:rPr>
          <w:sz w:val="22"/>
          <w:szCs w:val="22"/>
          <w:lang w:val="el-GR"/>
        </w:rPr>
        <w:t xml:space="preserve">κυρίως </w:t>
      </w:r>
      <w:r w:rsidR="003E5481">
        <w:rPr>
          <w:sz w:val="22"/>
          <w:szCs w:val="22"/>
          <w:lang w:val="el-GR"/>
        </w:rPr>
        <w:t xml:space="preserve">σε </w:t>
      </w:r>
      <w:r w:rsidR="00826F93">
        <w:rPr>
          <w:sz w:val="22"/>
          <w:szCs w:val="22"/>
          <w:lang w:val="el-GR"/>
        </w:rPr>
        <w:t xml:space="preserve">άνοδο των αποτιμήσεων </w:t>
      </w:r>
      <w:r w:rsidR="003E5481">
        <w:rPr>
          <w:sz w:val="22"/>
          <w:szCs w:val="22"/>
          <w:lang w:val="el-GR"/>
        </w:rPr>
        <w:t>μετοχών</w:t>
      </w:r>
      <w:r w:rsidR="00826F93">
        <w:rPr>
          <w:sz w:val="22"/>
          <w:szCs w:val="22"/>
          <w:lang w:val="el-GR"/>
        </w:rPr>
        <w:t xml:space="preserve"> του</w:t>
      </w:r>
      <w:r w:rsidR="003E5481">
        <w:rPr>
          <w:sz w:val="22"/>
          <w:szCs w:val="22"/>
          <w:lang w:val="el-GR"/>
        </w:rPr>
        <w:t xml:space="preserve"> εσωτερικού</w:t>
      </w:r>
      <w:r w:rsidR="003363D3">
        <w:rPr>
          <w:sz w:val="22"/>
          <w:szCs w:val="22"/>
          <w:lang w:val="el-GR"/>
        </w:rPr>
        <w:t>.</w:t>
      </w:r>
      <w:r w:rsidR="00404404">
        <w:rPr>
          <w:sz w:val="22"/>
          <w:szCs w:val="22"/>
          <w:lang w:val="el-GR"/>
        </w:rPr>
        <w:t xml:space="preserve"> </w:t>
      </w:r>
      <w:r w:rsidR="0053772A">
        <w:rPr>
          <w:sz w:val="22"/>
          <w:szCs w:val="22"/>
          <w:lang w:val="el-GR"/>
        </w:rPr>
        <w:t>Τ</w:t>
      </w:r>
      <w:r w:rsidR="00F71183">
        <w:rPr>
          <w:sz w:val="22"/>
          <w:szCs w:val="22"/>
          <w:lang w:val="el-GR"/>
        </w:rPr>
        <w:t>ο</w:t>
      </w:r>
      <w:r w:rsidR="00EE0810" w:rsidRPr="00EE0810">
        <w:rPr>
          <w:sz w:val="22"/>
          <w:szCs w:val="22"/>
          <w:lang w:val="el-GR"/>
        </w:rPr>
        <w:t xml:space="preserve"> </w:t>
      </w:r>
      <w:r w:rsidRPr="006950E4">
        <w:rPr>
          <w:sz w:val="22"/>
          <w:szCs w:val="22"/>
          <w:lang w:val="el-GR"/>
        </w:rPr>
        <w:t xml:space="preserve">ποσοστό </w:t>
      </w:r>
      <w:r w:rsidR="00A718E6">
        <w:rPr>
          <w:sz w:val="22"/>
          <w:szCs w:val="22"/>
          <w:lang w:val="el-GR"/>
        </w:rPr>
        <w:t>των συνολικών τοποθετήσεων σε μετοχές</w:t>
      </w:r>
      <w:r w:rsidR="00A718E6" w:rsidRPr="006950E4">
        <w:rPr>
          <w:sz w:val="22"/>
          <w:szCs w:val="22"/>
          <w:lang w:val="el-GR"/>
        </w:rPr>
        <w:t xml:space="preserve"> </w:t>
      </w:r>
      <w:r w:rsidRPr="006950E4">
        <w:rPr>
          <w:sz w:val="22"/>
          <w:szCs w:val="22"/>
          <w:lang w:val="el-GR"/>
        </w:rPr>
        <w:t xml:space="preserve">επί του συνόλου του ενεργητικού </w:t>
      </w:r>
      <w:r w:rsidR="00F2043E">
        <w:rPr>
          <w:sz w:val="22"/>
          <w:szCs w:val="22"/>
          <w:lang w:val="el-GR"/>
        </w:rPr>
        <w:t xml:space="preserve">διαμορφώθηκε </w:t>
      </w:r>
      <w:r>
        <w:rPr>
          <w:sz w:val="22"/>
          <w:szCs w:val="22"/>
          <w:lang w:val="el-GR"/>
        </w:rPr>
        <w:t>στο</w:t>
      </w:r>
      <w:r w:rsidR="001C2E8A">
        <w:rPr>
          <w:sz w:val="22"/>
          <w:szCs w:val="22"/>
          <w:lang w:val="el-GR"/>
        </w:rPr>
        <w:t xml:space="preserve"> 4,9</w:t>
      </w:r>
      <w:r w:rsidRPr="006950E4">
        <w:rPr>
          <w:sz w:val="22"/>
          <w:szCs w:val="22"/>
          <w:lang w:val="el-GR"/>
        </w:rPr>
        <w:t>%</w:t>
      </w:r>
      <w:r w:rsidR="001C2E8A">
        <w:rPr>
          <w:sz w:val="22"/>
          <w:szCs w:val="22"/>
          <w:lang w:val="el-GR"/>
        </w:rPr>
        <w:t xml:space="preserve"> το β</w:t>
      </w:r>
      <w:r w:rsidR="00E526BA" w:rsidRPr="00682D30">
        <w:rPr>
          <w:sz w:val="22"/>
          <w:szCs w:val="22"/>
          <w:lang w:val="el-GR"/>
        </w:rPr>
        <w:t>΄</w:t>
      </w:r>
      <w:r w:rsidR="00E728B4">
        <w:rPr>
          <w:sz w:val="22"/>
          <w:szCs w:val="22"/>
          <w:lang w:val="el-GR"/>
        </w:rPr>
        <w:t xml:space="preserve"> τρίμηνο</w:t>
      </w:r>
      <w:r w:rsidR="00C71703">
        <w:rPr>
          <w:sz w:val="22"/>
          <w:szCs w:val="22"/>
          <w:lang w:val="el-GR"/>
        </w:rPr>
        <w:t xml:space="preserve"> του 2025</w:t>
      </w:r>
      <w:r w:rsidR="001C2E8A">
        <w:rPr>
          <w:sz w:val="22"/>
          <w:szCs w:val="22"/>
          <w:lang w:val="el-GR"/>
        </w:rPr>
        <w:t>.</w:t>
      </w:r>
    </w:p>
    <w:p w14:paraId="46ACEC1C" w14:textId="77777777" w:rsidR="00724E80" w:rsidRDefault="00520777" w:rsidP="00724E80">
      <w:pPr>
        <w:spacing w:after="80" w:line="360" w:lineRule="auto"/>
        <w:jc w:val="both"/>
        <w:rPr>
          <w:i/>
          <w:sz w:val="22"/>
          <w:szCs w:val="22"/>
          <w:lang w:val="el-GR"/>
        </w:rPr>
      </w:pPr>
      <w:r w:rsidRPr="006950E4">
        <w:rPr>
          <w:sz w:val="22"/>
          <w:szCs w:val="22"/>
          <w:lang w:val="el-GR"/>
        </w:rPr>
        <w:t>Από την πλευρά του πα</w:t>
      </w:r>
      <w:r w:rsidR="000243CF">
        <w:rPr>
          <w:sz w:val="22"/>
          <w:szCs w:val="22"/>
          <w:lang w:val="el-GR"/>
        </w:rPr>
        <w:t>θητικού, τα ίδια κεφάλαια</w:t>
      </w:r>
      <w:r w:rsidRPr="006950E4">
        <w:rPr>
          <w:sz w:val="22"/>
          <w:szCs w:val="22"/>
          <w:lang w:val="el-GR"/>
        </w:rPr>
        <w:t xml:space="preserve"> </w:t>
      </w:r>
      <w:r w:rsidR="00826F93">
        <w:rPr>
          <w:sz w:val="22"/>
          <w:szCs w:val="22"/>
          <w:lang w:val="el-GR"/>
        </w:rPr>
        <w:t>αυξή</w:t>
      </w:r>
      <w:r w:rsidR="00031746">
        <w:rPr>
          <w:sz w:val="22"/>
          <w:szCs w:val="22"/>
          <w:lang w:val="el-GR"/>
        </w:rPr>
        <w:t>θηκαν</w:t>
      </w:r>
      <w:r w:rsidRPr="006950E4">
        <w:rPr>
          <w:sz w:val="22"/>
          <w:szCs w:val="22"/>
          <w:lang w:val="el-GR"/>
        </w:rPr>
        <w:t xml:space="preserve"> σ</w:t>
      </w:r>
      <w:r w:rsidR="00CA360B">
        <w:rPr>
          <w:sz w:val="22"/>
          <w:szCs w:val="22"/>
          <w:lang w:val="el-GR"/>
        </w:rPr>
        <w:t>τα</w:t>
      </w:r>
      <w:r w:rsidRPr="006950E4">
        <w:rPr>
          <w:sz w:val="22"/>
          <w:szCs w:val="22"/>
          <w:lang w:val="el-GR"/>
        </w:rPr>
        <w:t xml:space="preserve"> 3.</w:t>
      </w:r>
      <w:r w:rsidR="001C2E8A">
        <w:rPr>
          <w:sz w:val="22"/>
          <w:szCs w:val="22"/>
          <w:lang w:val="el-GR"/>
        </w:rPr>
        <w:t>800</w:t>
      </w:r>
      <w:r w:rsidR="005A2D03">
        <w:rPr>
          <w:sz w:val="22"/>
          <w:szCs w:val="22"/>
          <w:lang w:val="el-GR"/>
        </w:rPr>
        <w:t xml:space="preserve"> </w:t>
      </w:r>
      <w:r w:rsidRPr="006950E4">
        <w:rPr>
          <w:sz w:val="22"/>
          <w:szCs w:val="22"/>
          <w:lang w:val="el-GR"/>
        </w:rPr>
        <w:t xml:space="preserve">εκατ. ευρώ στο τέλος του </w:t>
      </w:r>
      <w:r w:rsidR="001C2E8A">
        <w:rPr>
          <w:sz w:val="22"/>
          <w:szCs w:val="22"/>
          <w:lang w:val="el-GR"/>
        </w:rPr>
        <w:t>β</w:t>
      </w:r>
      <w:r w:rsidRPr="006950E4">
        <w:rPr>
          <w:sz w:val="22"/>
          <w:szCs w:val="22"/>
          <w:lang w:val="el-GR"/>
        </w:rPr>
        <w:t>΄ τριμήνου του 202</w:t>
      </w:r>
      <w:r w:rsidR="001C2E8A">
        <w:rPr>
          <w:sz w:val="22"/>
          <w:szCs w:val="22"/>
          <w:lang w:val="el-GR"/>
        </w:rPr>
        <w:t>5, έναντι 3.566</w:t>
      </w:r>
      <w:r w:rsidR="000606A0">
        <w:rPr>
          <w:sz w:val="22"/>
          <w:szCs w:val="22"/>
          <w:lang w:val="el-GR"/>
        </w:rPr>
        <w:t xml:space="preserve"> </w:t>
      </w:r>
      <w:r w:rsidR="00086D3F" w:rsidRPr="006950E4">
        <w:rPr>
          <w:sz w:val="22"/>
          <w:szCs w:val="22"/>
          <w:lang w:val="el-GR"/>
        </w:rPr>
        <w:t xml:space="preserve">εκατ. ευρώ </w:t>
      </w:r>
      <w:r w:rsidR="000606A0">
        <w:rPr>
          <w:sz w:val="22"/>
          <w:szCs w:val="22"/>
          <w:lang w:val="el-GR"/>
        </w:rPr>
        <w:t>το προηγούμενο τρίμηνο</w:t>
      </w:r>
      <w:r w:rsidRPr="006950E4">
        <w:rPr>
          <w:sz w:val="22"/>
          <w:szCs w:val="22"/>
          <w:lang w:val="el-GR"/>
        </w:rPr>
        <w:t xml:space="preserve">. Οι ασφαλιστικές τεχνικές προβλέψεις </w:t>
      </w:r>
      <w:r w:rsidR="001C2E8A">
        <w:rPr>
          <w:sz w:val="22"/>
          <w:szCs w:val="22"/>
          <w:lang w:val="el-GR"/>
        </w:rPr>
        <w:t>αυξή</w:t>
      </w:r>
      <w:r w:rsidR="008B4C98">
        <w:rPr>
          <w:sz w:val="22"/>
          <w:szCs w:val="22"/>
          <w:lang w:val="el-GR"/>
        </w:rPr>
        <w:t>θηκαν</w:t>
      </w:r>
      <w:r w:rsidR="008B4C98" w:rsidRPr="006950E4">
        <w:rPr>
          <w:sz w:val="22"/>
          <w:szCs w:val="22"/>
          <w:lang w:val="el-GR"/>
        </w:rPr>
        <w:t xml:space="preserve"> </w:t>
      </w:r>
      <w:r w:rsidRPr="006950E4">
        <w:rPr>
          <w:sz w:val="22"/>
          <w:szCs w:val="22"/>
          <w:lang w:val="el-GR"/>
        </w:rPr>
        <w:t xml:space="preserve">κατά </w:t>
      </w:r>
      <w:r w:rsidR="001C2E8A">
        <w:rPr>
          <w:sz w:val="22"/>
          <w:szCs w:val="22"/>
          <w:lang w:val="el-GR"/>
        </w:rPr>
        <w:t>177</w:t>
      </w:r>
      <w:r w:rsidR="00B107D9" w:rsidRPr="006950E4">
        <w:rPr>
          <w:sz w:val="22"/>
          <w:szCs w:val="22"/>
          <w:lang w:val="el-GR"/>
        </w:rPr>
        <w:t xml:space="preserve"> </w:t>
      </w:r>
      <w:r w:rsidRPr="006950E4">
        <w:rPr>
          <w:sz w:val="22"/>
          <w:szCs w:val="22"/>
          <w:lang w:val="el-GR"/>
        </w:rPr>
        <w:t>εκατ. ευρώ και διαμορφώθηκαν σ</w:t>
      </w:r>
      <w:r>
        <w:rPr>
          <w:sz w:val="22"/>
          <w:szCs w:val="22"/>
          <w:lang w:val="el-GR"/>
        </w:rPr>
        <w:t>τα</w:t>
      </w:r>
      <w:r w:rsidR="001C2E8A">
        <w:rPr>
          <w:sz w:val="22"/>
          <w:szCs w:val="22"/>
          <w:lang w:val="el-GR"/>
        </w:rPr>
        <w:t xml:space="preserve"> 15.732</w:t>
      </w:r>
      <w:r w:rsidR="00AC4969" w:rsidRPr="006950E4">
        <w:rPr>
          <w:sz w:val="22"/>
          <w:szCs w:val="22"/>
          <w:lang w:val="el-GR"/>
        </w:rPr>
        <w:t xml:space="preserve"> </w:t>
      </w:r>
      <w:r w:rsidRPr="006950E4">
        <w:rPr>
          <w:sz w:val="22"/>
          <w:szCs w:val="22"/>
          <w:lang w:val="el-GR"/>
        </w:rPr>
        <w:t>εκατ. ευρώ</w:t>
      </w:r>
      <w:r w:rsidR="00943696">
        <w:rPr>
          <w:sz w:val="22"/>
          <w:szCs w:val="22"/>
          <w:lang w:val="el-GR"/>
        </w:rPr>
        <w:t xml:space="preserve">. </w:t>
      </w:r>
      <w:r w:rsidR="0047134D">
        <w:rPr>
          <w:sz w:val="22"/>
          <w:szCs w:val="22"/>
          <w:lang w:val="el-GR"/>
        </w:rPr>
        <w:t>Αναλυτικότερα, ο</w:t>
      </w:r>
      <w:r w:rsidR="00943696">
        <w:rPr>
          <w:sz w:val="22"/>
          <w:szCs w:val="22"/>
          <w:lang w:val="el-GR"/>
        </w:rPr>
        <w:t>ι ασφαλιστ</w:t>
      </w:r>
      <w:r w:rsidR="00D03708">
        <w:rPr>
          <w:sz w:val="22"/>
          <w:szCs w:val="22"/>
          <w:lang w:val="el-GR"/>
        </w:rPr>
        <w:t>ικ</w:t>
      </w:r>
      <w:r w:rsidR="001C2E8A">
        <w:rPr>
          <w:sz w:val="22"/>
          <w:szCs w:val="22"/>
          <w:lang w:val="el-GR"/>
        </w:rPr>
        <w:t>ές τεχνικές προβλέψεις ζωής αυξή</w:t>
      </w:r>
      <w:r w:rsidR="00D03708">
        <w:rPr>
          <w:sz w:val="22"/>
          <w:szCs w:val="22"/>
          <w:lang w:val="el-GR"/>
        </w:rPr>
        <w:t>θηκαν</w:t>
      </w:r>
      <w:r w:rsidR="00943696">
        <w:rPr>
          <w:sz w:val="22"/>
          <w:szCs w:val="22"/>
          <w:lang w:val="el-GR"/>
        </w:rPr>
        <w:t xml:space="preserve"> κατά </w:t>
      </w:r>
      <w:r w:rsidR="001C2E8A">
        <w:rPr>
          <w:sz w:val="22"/>
          <w:szCs w:val="22"/>
          <w:lang w:val="el-GR"/>
        </w:rPr>
        <w:t>179</w:t>
      </w:r>
      <w:r w:rsidR="00581ADC">
        <w:rPr>
          <w:sz w:val="22"/>
          <w:szCs w:val="22"/>
          <w:lang w:val="el-GR"/>
        </w:rPr>
        <w:t xml:space="preserve"> </w:t>
      </w:r>
      <w:r w:rsidRPr="006950E4">
        <w:rPr>
          <w:sz w:val="22"/>
          <w:szCs w:val="22"/>
          <w:lang w:val="el-GR"/>
        </w:rPr>
        <w:t>εκατ. ευρώ</w:t>
      </w:r>
      <w:r w:rsidR="00581ADC">
        <w:rPr>
          <w:sz w:val="22"/>
          <w:szCs w:val="22"/>
          <w:lang w:val="el-GR"/>
        </w:rPr>
        <w:t xml:space="preserve"> και διαμορφώ</w:t>
      </w:r>
      <w:r w:rsidR="00037252">
        <w:rPr>
          <w:sz w:val="22"/>
          <w:szCs w:val="22"/>
          <w:lang w:val="el-GR"/>
        </w:rPr>
        <w:t>θηκαν</w:t>
      </w:r>
      <w:r w:rsidR="001C2E8A">
        <w:rPr>
          <w:sz w:val="22"/>
          <w:szCs w:val="22"/>
          <w:lang w:val="el-GR"/>
        </w:rPr>
        <w:t xml:space="preserve"> στα 12.129</w:t>
      </w:r>
      <w:r w:rsidR="00943696">
        <w:rPr>
          <w:sz w:val="22"/>
          <w:szCs w:val="22"/>
          <w:lang w:val="el-GR"/>
        </w:rPr>
        <w:t xml:space="preserve"> εκατ. ευρώ, ενώ οι</w:t>
      </w:r>
      <w:r w:rsidRPr="006950E4">
        <w:rPr>
          <w:sz w:val="22"/>
          <w:szCs w:val="22"/>
          <w:lang w:val="el-GR"/>
        </w:rPr>
        <w:t xml:space="preserve"> τεχνικές προβλέψεις ζημιών</w:t>
      </w:r>
      <w:r w:rsidR="00037252">
        <w:rPr>
          <w:sz w:val="22"/>
          <w:szCs w:val="22"/>
          <w:lang w:val="el-GR"/>
        </w:rPr>
        <w:t xml:space="preserve"> </w:t>
      </w:r>
      <w:r w:rsidR="007F6D74">
        <w:rPr>
          <w:sz w:val="22"/>
          <w:szCs w:val="22"/>
          <w:lang w:val="el-GR"/>
        </w:rPr>
        <w:t xml:space="preserve">διαμορφώθηκαν </w:t>
      </w:r>
      <w:r w:rsidR="00CC2249">
        <w:rPr>
          <w:sz w:val="22"/>
          <w:szCs w:val="22"/>
          <w:lang w:val="el-GR"/>
        </w:rPr>
        <w:t>στα 3.</w:t>
      </w:r>
      <w:r w:rsidR="001C2E8A">
        <w:rPr>
          <w:sz w:val="22"/>
          <w:szCs w:val="22"/>
          <w:lang w:val="el-GR"/>
        </w:rPr>
        <w:t>603</w:t>
      </w:r>
      <w:r w:rsidRPr="006950E4">
        <w:rPr>
          <w:sz w:val="22"/>
          <w:szCs w:val="22"/>
          <w:lang w:val="el-GR"/>
        </w:rPr>
        <w:t xml:space="preserve"> εκατ. ευρώ</w:t>
      </w:r>
      <w:r w:rsidR="007F6D74">
        <w:rPr>
          <w:sz w:val="22"/>
          <w:szCs w:val="22"/>
          <w:lang w:val="el-GR"/>
        </w:rPr>
        <w:t xml:space="preserve"> από 3.605 εκατ. ευρώ το προηγούμενο τρίμηνο</w:t>
      </w:r>
      <w:r w:rsidRPr="006950E4">
        <w:rPr>
          <w:sz w:val="22"/>
          <w:szCs w:val="22"/>
          <w:lang w:val="el-GR"/>
        </w:rPr>
        <w:t xml:space="preserve">. </w:t>
      </w:r>
      <w:r w:rsidR="003A3DE4">
        <w:rPr>
          <w:sz w:val="22"/>
          <w:szCs w:val="22"/>
          <w:lang w:val="el-GR"/>
        </w:rPr>
        <w:t>Από το σύνολο των τεχνικών προβλέψεων</w:t>
      </w:r>
      <w:r w:rsidR="003E5746" w:rsidRPr="003E5746">
        <w:rPr>
          <w:sz w:val="22"/>
          <w:szCs w:val="22"/>
          <w:lang w:val="el-GR"/>
        </w:rPr>
        <w:t>,</w:t>
      </w:r>
      <w:r w:rsidR="003A3DE4">
        <w:rPr>
          <w:sz w:val="22"/>
          <w:szCs w:val="22"/>
          <w:lang w:val="el-GR"/>
        </w:rPr>
        <w:t xml:space="preserve"> τ</w:t>
      </w:r>
      <w:r w:rsidRPr="006950E4">
        <w:rPr>
          <w:sz w:val="22"/>
          <w:szCs w:val="22"/>
          <w:lang w:val="el-GR"/>
        </w:rPr>
        <w:t>ο 7</w:t>
      </w:r>
      <w:r w:rsidR="001C2E8A">
        <w:rPr>
          <w:sz w:val="22"/>
          <w:szCs w:val="22"/>
          <w:lang w:val="el-GR"/>
        </w:rPr>
        <w:t>7,1</w:t>
      </w:r>
      <w:r w:rsidRPr="006950E4">
        <w:rPr>
          <w:sz w:val="22"/>
          <w:szCs w:val="22"/>
          <w:lang w:val="el-GR"/>
        </w:rPr>
        <w:t>% αντιστοιχεί σε τεχνικές προβλέψεις ζωής.</w:t>
      </w:r>
    </w:p>
    <w:p w14:paraId="72EACDA1" w14:textId="77777777" w:rsidR="00AA5EBA" w:rsidRPr="00724E80" w:rsidRDefault="00036433" w:rsidP="00724E80">
      <w:pPr>
        <w:spacing w:after="80" w:line="360" w:lineRule="auto"/>
        <w:jc w:val="both"/>
        <w:rPr>
          <w:i/>
          <w:sz w:val="22"/>
          <w:szCs w:val="22"/>
          <w:lang w:val="el-GR"/>
        </w:rPr>
      </w:pPr>
      <w:r w:rsidRPr="000207FB">
        <w:rPr>
          <w:b/>
          <w:sz w:val="22"/>
          <w:szCs w:val="22"/>
          <w:lang w:val="el-GR"/>
        </w:rPr>
        <w:t>Πίνακας 1: Συγκεντρωτική Λογιστική Κατάσταση των Ασφαλιστικών Επιχειρήσεων (υπόλοιπα τέλους περιόδου σε εκατ. ευρώ)</w:t>
      </w: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6"/>
        <w:gridCol w:w="1562"/>
        <w:gridCol w:w="1562"/>
      </w:tblGrid>
      <w:tr w:rsidR="00036433" w:rsidRPr="00070BDE" w14:paraId="19E53E0C" w14:textId="77777777" w:rsidTr="00BF7489">
        <w:trPr>
          <w:trHeight w:val="300"/>
        </w:trPr>
        <w:tc>
          <w:tcPr>
            <w:tcW w:w="5606" w:type="dxa"/>
            <w:shd w:val="clear" w:color="auto" w:fill="auto"/>
            <w:noWrap/>
            <w:hideMark/>
          </w:tcPr>
          <w:p w14:paraId="34DF8310" w14:textId="77777777" w:rsidR="00036433" w:rsidRPr="007F2DA5" w:rsidRDefault="00036433" w:rsidP="007F2DA5">
            <w:pPr>
              <w:rPr>
                <w:i/>
                <w:iCs/>
                <w:sz w:val="22"/>
                <w:lang w:val="el-GR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7DB3D41A" w14:textId="77777777" w:rsidR="00036433" w:rsidRPr="007F2DA5" w:rsidRDefault="00835A34" w:rsidP="007F2DA5">
            <w:pPr>
              <w:jc w:val="center"/>
              <w:rPr>
                <w:i/>
                <w:iCs/>
                <w:sz w:val="22"/>
                <w:lang w:val="en-US"/>
              </w:rPr>
            </w:pPr>
            <w:r>
              <w:rPr>
                <w:i/>
                <w:iCs/>
                <w:sz w:val="22"/>
                <w:lang w:val="el-GR"/>
              </w:rPr>
              <w:t>2025</w:t>
            </w:r>
            <w:r w:rsidR="00BC43F0">
              <w:rPr>
                <w:i/>
                <w:iCs/>
                <w:sz w:val="22"/>
                <w:lang w:val="el-GR"/>
              </w:rPr>
              <w:t xml:space="preserve">           </w:t>
            </w:r>
            <w:r>
              <w:rPr>
                <w:i/>
                <w:iCs/>
                <w:sz w:val="22"/>
                <w:lang w:val="el-GR"/>
              </w:rPr>
              <w:t>Α</w:t>
            </w:r>
            <w:r w:rsidR="00323F01" w:rsidRPr="007F2DA5">
              <w:rPr>
                <w:i/>
                <w:iCs/>
                <w:sz w:val="22"/>
                <w:lang w:val="el-GR"/>
              </w:rPr>
              <w:t>΄</w:t>
            </w:r>
            <w:r w:rsidR="00BC43F0">
              <w:rPr>
                <w:i/>
                <w:iCs/>
                <w:sz w:val="22"/>
                <w:lang w:val="el-GR"/>
              </w:rPr>
              <w:t xml:space="preserve"> </w:t>
            </w:r>
            <w:r w:rsidR="00323F01" w:rsidRPr="007F2DA5">
              <w:rPr>
                <w:i/>
                <w:iCs/>
                <w:sz w:val="22"/>
                <w:lang w:val="el-GR"/>
              </w:rPr>
              <w:t>τρίμηνο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76DCDABC" w14:textId="77777777" w:rsidR="00323F01" w:rsidRPr="007F2DA5" w:rsidRDefault="00883D7D" w:rsidP="00AA31E7">
            <w:pPr>
              <w:jc w:val="center"/>
              <w:rPr>
                <w:i/>
                <w:iCs/>
                <w:sz w:val="22"/>
                <w:lang w:val="el-GR"/>
              </w:rPr>
            </w:pPr>
            <w:r>
              <w:rPr>
                <w:i/>
                <w:iCs/>
                <w:sz w:val="22"/>
                <w:lang w:val="el-GR"/>
              </w:rPr>
              <w:t>2025</w:t>
            </w:r>
          </w:p>
          <w:p w14:paraId="11C050B7" w14:textId="77777777" w:rsidR="00036433" w:rsidRPr="007F2DA5" w:rsidRDefault="00C40F94" w:rsidP="00AA31E7">
            <w:pPr>
              <w:jc w:val="center"/>
              <w:rPr>
                <w:i/>
                <w:iCs/>
                <w:sz w:val="22"/>
                <w:lang w:val="el-GR"/>
              </w:rPr>
            </w:pPr>
            <w:r>
              <w:rPr>
                <w:i/>
                <w:iCs/>
                <w:sz w:val="22"/>
                <w:lang w:val="el-GR"/>
              </w:rPr>
              <w:t>Β</w:t>
            </w:r>
            <w:r w:rsidR="00F06222">
              <w:rPr>
                <w:i/>
                <w:iCs/>
                <w:sz w:val="22"/>
                <w:lang w:val="el-GR"/>
              </w:rPr>
              <w:t>΄</w:t>
            </w:r>
            <w:r w:rsidR="0047661B">
              <w:rPr>
                <w:i/>
                <w:iCs/>
                <w:sz w:val="22"/>
                <w:lang w:val="en-US"/>
              </w:rPr>
              <w:t xml:space="preserve"> </w:t>
            </w:r>
            <w:r w:rsidR="00323F01" w:rsidRPr="007F2DA5">
              <w:rPr>
                <w:i/>
                <w:iCs/>
                <w:sz w:val="22"/>
                <w:lang w:val="el-GR"/>
              </w:rPr>
              <w:t xml:space="preserve"> τρίμηνο</w:t>
            </w:r>
          </w:p>
        </w:tc>
      </w:tr>
      <w:tr w:rsidR="00036433" w:rsidRPr="00070BDE" w14:paraId="49FA3217" w14:textId="77777777" w:rsidTr="00BF7489">
        <w:trPr>
          <w:trHeight w:val="312"/>
        </w:trPr>
        <w:tc>
          <w:tcPr>
            <w:tcW w:w="5606" w:type="dxa"/>
            <w:shd w:val="clear" w:color="auto" w:fill="auto"/>
            <w:noWrap/>
            <w:vAlign w:val="center"/>
          </w:tcPr>
          <w:p w14:paraId="0A8A035E" w14:textId="77777777" w:rsidR="00036433" w:rsidRPr="00E62248" w:rsidRDefault="00036433" w:rsidP="007F2DA5">
            <w:pPr>
              <w:rPr>
                <w:b/>
                <w:bCs/>
                <w:i/>
                <w:sz w:val="22"/>
                <w:szCs w:val="22"/>
              </w:rPr>
            </w:pPr>
            <w:r w:rsidRPr="00E62248">
              <w:rPr>
                <w:b/>
                <w:bCs/>
                <w:i/>
                <w:sz w:val="22"/>
                <w:szCs w:val="22"/>
              </w:rPr>
              <w:t>ΕΝΕΡΓΗΤΙΚΟ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14:paraId="6BAFD8AE" w14:textId="77777777" w:rsidR="00036433" w:rsidRPr="00E62248" w:rsidRDefault="00036433" w:rsidP="007F2DA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</w:tcPr>
          <w:p w14:paraId="54187981" w14:textId="77777777" w:rsidR="00036433" w:rsidRPr="00D81B14" w:rsidRDefault="00036433" w:rsidP="007F2DA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35A34" w:rsidRPr="00070BDE" w14:paraId="530A677F" w14:textId="77777777" w:rsidTr="009B057A">
        <w:trPr>
          <w:trHeight w:val="23"/>
        </w:trPr>
        <w:tc>
          <w:tcPr>
            <w:tcW w:w="5606" w:type="dxa"/>
            <w:shd w:val="clear" w:color="auto" w:fill="auto"/>
            <w:noWrap/>
            <w:hideMark/>
          </w:tcPr>
          <w:p w14:paraId="1E60693C" w14:textId="77777777" w:rsidR="00835A34" w:rsidRPr="00E62248" w:rsidRDefault="00835A34" w:rsidP="00835A34">
            <w:pPr>
              <w:rPr>
                <w:b/>
                <w:bCs/>
                <w:sz w:val="22"/>
                <w:szCs w:val="22"/>
              </w:rPr>
            </w:pPr>
            <w:r w:rsidRPr="00E62248">
              <w:rPr>
                <w:b/>
                <w:bCs/>
                <w:sz w:val="22"/>
                <w:szCs w:val="22"/>
              </w:rPr>
              <w:t>Καταθέσεις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1E435" w14:textId="77777777" w:rsidR="00835A34" w:rsidRPr="00883D7D" w:rsidRDefault="00835A34" w:rsidP="00835A34">
            <w:pPr>
              <w:jc w:val="right"/>
              <w:rPr>
                <w:b/>
                <w:bCs/>
                <w:szCs w:val="24"/>
                <w:lang w:val="en-US" w:eastAsia="en-US"/>
              </w:rPr>
            </w:pPr>
            <w:r w:rsidRPr="00883D7D">
              <w:rPr>
                <w:b/>
                <w:bCs/>
                <w:szCs w:val="24"/>
              </w:rPr>
              <w:t>529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A8CB50D" w14:textId="77777777" w:rsidR="00835A34" w:rsidRPr="00835A34" w:rsidRDefault="00835A34" w:rsidP="00835A34">
            <w:pPr>
              <w:jc w:val="right"/>
              <w:rPr>
                <w:b/>
                <w:bCs/>
                <w:szCs w:val="24"/>
              </w:rPr>
            </w:pPr>
            <w:r w:rsidRPr="00835A34">
              <w:rPr>
                <w:b/>
                <w:bCs/>
                <w:szCs w:val="24"/>
              </w:rPr>
              <w:t>553</w:t>
            </w:r>
          </w:p>
        </w:tc>
      </w:tr>
      <w:tr w:rsidR="00835A34" w:rsidRPr="00070BDE" w14:paraId="7DBB71CF" w14:textId="77777777" w:rsidTr="009B057A">
        <w:trPr>
          <w:trHeight w:val="23"/>
        </w:trPr>
        <w:tc>
          <w:tcPr>
            <w:tcW w:w="5606" w:type="dxa"/>
            <w:shd w:val="clear" w:color="auto" w:fill="auto"/>
            <w:noWrap/>
            <w:hideMark/>
          </w:tcPr>
          <w:p w14:paraId="513160AE" w14:textId="77777777" w:rsidR="00835A34" w:rsidRPr="00E62248" w:rsidRDefault="00835A34" w:rsidP="00835A34">
            <w:pPr>
              <w:rPr>
                <w:i/>
                <w:iCs/>
                <w:sz w:val="22"/>
                <w:szCs w:val="22"/>
              </w:rPr>
            </w:pPr>
            <w:r w:rsidRPr="00E62248">
              <w:rPr>
                <w:i/>
                <w:iCs/>
                <w:sz w:val="22"/>
                <w:szCs w:val="22"/>
              </w:rPr>
              <w:t xml:space="preserve">          Εσωτερικό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6E27A" w14:textId="77777777" w:rsidR="00835A34" w:rsidRPr="00883D7D" w:rsidRDefault="00835A34" w:rsidP="00835A34">
            <w:pPr>
              <w:jc w:val="right"/>
              <w:rPr>
                <w:i/>
                <w:iCs/>
                <w:szCs w:val="24"/>
              </w:rPr>
            </w:pPr>
            <w:r w:rsidRPr="00883D7D">
              <w:rPr>
                <w:i/>
                <w:iCs/>
                <w:szCs w:val="24"/>
              </w:rPr>
              <w:t>390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3B5869" w14:textId="77777777" w:rsidR="00835A34" w:rsidRPr="00835A34" w:rsidRDefault="00835A34" w:rsidP="00835A34">
            <w:pPr>
              <w:jc w:val="right"/>
              <w:rPr>
                <w:bCs/>
                <w:szCs w:val="24"/>
              </w:rPr>
            </w:pPr>
            <w:r w:rsidRPr="00835A34">
              <w:rPr>
                <w:bCs/>
                <w:szCs w:val="24"/>
              </w:rPr>
              <w:t>341</w:t>
            </w:r>
          </w:p>
        </w:tc>
      </w:tr>
      <w:tr w:rsidR="00835A34" w:rsidRPr="00070BDE" w14:paraId="3A641E79" w14:textId="77777777" w:rsidTr="009B057A">
        <w:trPr>
          <w:trHeight w:val="23"/>
        </w:trPr>
        <w:tc>
          <w:tcPr>
            <w:tcW w:w="5606" w:type="dxa"/>
            <w:shd w:val="clear" w:color="auto" w:fill="auto"/>
            <w:noWrap/>
            <w:hideMark/>
          </w:tcPr>
          <w:p w14:paraId="1B09FED9" w14:textId="77777777" w:rsidR="00835A34" w:rsidRPr="00E62248" w:rsidRDefault="00835A34" w:rsidP="00835A34">
            <w:pPr>
              <w:rPr>
                <w:i/>
                <w:iCs/>
                <w:sz w:val="22"/>
                <w:szCs w:val="22"/>
              </w:rPr>
            </w:pPr>
            <w:r w:rsidRPr="00E62248">
              <w:rPr>
                <w:i/>
                <w:iCs/>
                <w:sz w:val="22"/>
                <w:szCs w:val="22"/>
              </w:rPr>
              <w:t xml:space="preserve">          Εξωτερικό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28CFE" w14:textId="77777777" w:rsidR="00835A34" w:rsidRPr="00566F2F" w:rsidRDefault="00835A34" w:rsidP="00835A34">
            <w:pPr>
              <w:jc w:val="right"/>
              <w:rPr>
                <w:szCs w:val="24"/>
              </w:rPr>
            </w:pPr>
            <w:r w:rsidRPr="00566F2F">
              <w:rPr>
                <w:szCs w:val="24"/>
              </w:rPr>
              <w:t>139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67D506" w14:textId="77777777" w:rsidR="00835A34" w:rsidRPr="00835A34" w:rsidRDefault="00835A34" w:rsidP="00835A34">
            <w:pPr>
              <w:jc w:val="right"/>
              <w:rPr>
                <w:bCs/>
                <w:szCs w:val="24"/>
              </w:rPr>
            </w:pPr>
            <w:r w:rsidRPr="00835A34">
              <w:rPr>
                <w:bCs/>
                <w:szCs w:val="24"/>
              </w:rPr>
              <w:t>212</w:t>
            </w:r>
          </w:p>
        </w:tc>
      </w:tr>
      <w:tr w:rsidR="00835A34" w:rsidRPr="00070BDE" w14:paraId="4F1FAC3C" w14:textId="77777777" w:rsidTr="009B057A">
        <w:trPr>
          <w:trHeight w:val="23"/>
        </w:trPr>
        <w:tc>
          <w:tcPr>
            <w:tcW w:w="5606" w:type="dxa"/>
            <w:shd w:val="clear" w:color="auto" w:fill="auto"/>
            <w:noWrap/>
            <w:hideMark/>
          </w:tcPr>
          <w:p w14:paraId="2DF1D2E3" w14:textId="77777777" w:rsidR="00835A34" w:rsidRPr="00E62248" w:rsidRDefault="00835A34" w:rsidP="00835A34">
            <w:pPr>
              <w:rPr>
                <w:b/>
                <w:bCs/>
                <w:sz w:val="22"/>
                <w:szCs w:val="22"/>
              </w:rPr>
            </w:pPr>
            <w:r w:rsidRPr="00E62248">
              <w:rPr>
                <w:b/>
                <w:bCs/>
                <w:sz w:val="22"/>
                <w:szCs w:val="22"/>
              </w:rPr>
              <w:t>Χρεωστικοί Τίτλοι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41A85" w14:textId="77777777" w:rsidR="00835A34" w:rsidRPr="00883D7D" w:rsidRDefault="00835A34" w:rsidP="00835A34">
            <w:pPr>
              <w:jc w:val="right"/>
              <w:rPr>
                <w:b/>
                <w:bCs/>
                <w:szCs w:val="24"/>
              </w:rPr>
            </w:pPr>
            <w:r w:rsidRPr="00883D7D">
              <w:rPr>
                <w:b/>
                <w:bCs/>
                <w:szCs w:val="24"/>
              </w:rPr>
              <w:t>10.523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EA21CE" w14:textId="77777777" w:rsidR="00835A34" w:rsidRPr="00835A34" w:rsidRDefault="00835A34" w:rsidP="00835A34">
            <w:pPr>
              <w:jc w:val="right"/>
              <w:rPr>
                <w:b/>
                <w:bCs/>
                <w:szCs w:val="24"/>
              </w:rPr>
            </w:pPr>
            <w:r w:rsidRPr="00835A34">
              <w:rPr>
                <w:b/>
                <w:bCs/>
                <w:szCs w:val="24"/>
              </w:rPr>
              <w:t>10.621</w:t>
            </w:r>
          </w:p>
        </w:tc>
      </w:tr>
      <w:tr w:rsidR="00835A34" w:rsidRPr="00AC4969" w14:paraId="7C463B70" w14:textId="77777777" w:rsidTr="009B057A">
        <w:trPr>
          <w:trHeight w:val="23"/>
        </w:trPr>
        <w:tc>
          <w:tcPr>
            <w:tcW w:w="5606" w:type="dxa"/>
            <w:shd w:val="clear" w:color="auto" w:fill="auto"/>
            <w:noWrap/>
            <w:hideMark/>
          </w:tcPr>
          <w:p w14:paraId="0D1F4FD1" w14:textId="77777777" w:rsidR="00835A34" w:rsidRPr="00E62248" w:rsidRDefault="00835A34" w:rsidP="00835A34">
            <w:pPr>
              <w:rPr>
                <w:i/>
                <w:iCs/>
                <w:sz w:val="22"/>
                <w:szCs w:val="22"/>
              </w:rPr>
            </w:pPr>
            <w:r w:rsidRPr="00E62248">
              <w:rPr>
                <w:i/>
                <w:iCs/>
                <w:sz w:val="22"/>
                <w:szCs w:val="22"/>
              </w:rPr>
              <w:t xml:space="preserve">          Εσωτερικό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5CC7C" w14:textId="77777777" w:rsidR="00835A34" w:rsidRPr="00883D7D" w:rsidRDefault="00835A34" w:rsidP="00835A34">
            <w:pPr>
              <w:jc w:val="right"/>
              <w:rPr>
                <w:i/>
                <w:iCs/>
                <w:szCs w:val="24"/>
              </w:rPr>
            </w:pPr>
            <w:r w:rsidRPr="00883D7D">
              <w:rPr>
                <w:i/>
                <w:iCs/>
                <w:szCs w:val="24"/>
              </w:rPr>
              <w:t>2.667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C2766E" w14:textId="77777777" w:rsidR="00835A34" w:rsidRPr="00835A34" w:rsidRDefault="00835A34" w:rsidP="00835A34">
            <w:pPr>
              <w:jc w:val="right"/>
              <w:rPr>
                <w:bCs/>
                <w:szCs w:val="24"/>
              </w:rPr>
            </w:pPr>
            <w:r w:rsidRPr="00835A34">
              <w:rPr>
                <w:bCs/>
                <w:szCs w:val="24"/>
              </w:rPr>
              <w:t>2.716</w:t>
            </w:r>
          </w:p>
        </w:tc>
      </w:tr>
      <w:tr w:rsidR="00835A34" w:rsidRPr="00AC4969" w14:paraId="10B1E3B4" w14:textId="77777777" w:rsidTr="009B057A">
        <w:trPr>
          <w:trHeight w:val="23"/>
        </w:trPr>
        <w:tc>
          <w:tcPr>
            <w:tcW w:w="5606" w:type="dxa"/>
            <w:shd w:val="clear" w:color="auto" w:fill="auto"/>
            <w:noWrap/>
            <w:hideMark/>
          </w:tcPr>
          <w:p w14:paraId="2D6343F4" w14:textId="77777777" w:rsidR="00835A34" w:rsidRPr="00E62248" w:rsidRDefault="00835A34" w:rsidP="00835A34">
            <w:pPr>
              <w:rPr>
                <w:i/>
                <w:iCs/>
                <w:sz w:val="22"/>
                <w:szCs w:val="22"/>
                <w:lang w:val="el-GR"/>
              </w:rPr>
            </w:pPr>
            <w:r w:rsidRPr="00E62248">
              <w:rPr>
                <w:i/>
                <w:iCs/>
                <w:sz w:val="22"/>
                <w:szCs w:val="22"/>
                <w:lang w:val="el-GR"/>
              </w:rPr>
              <w:t xml:space="preserve">          Εξωτερικό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2C2AD" w14:textId="77777777" w:rsidR="00835A34" w:rsidRPr="00883D7D" w:rsidRDefault="00835A34" w:rsidP="00835A34">
            <w:pPr>
              <w:jc w:val="right"/>
              <w:rPr>
                <w:i/>
                <w:iCs/>
                <w:szCs w:val="24"/>
              </w:rPr>
            </w:pPr>
            <w:r w:rsidRPr="00883D7D">
              <w:rPr>
                <w:i/>
                <w:iCs/>
                <w:szCs w:val="24"/>
              </w:rPr>
              <w:t>7.856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635B49" w14:textId="77777777" w:rsidR="00835A34" w:rsidRPr="00835A34" w:rsidRDefault="00835A34" w:rsidP="00835A34">
            <w:pPr>
              <w:jc w:val="right"/>
              <w:rPr>
                <w:bCs/>
                <w:szCs w:val="24"/>
              </w:rPr>
            </w:pPr>
            <w:r w:rsidRPr="00835A34">
              <w:rPr>
                <w:bCs/>
                <w:szCs w:val="24"/>
              </w:rPr>
              <w:t>7.905</w:t>
            </w:r>
          </w:p>
        </w:tc>
      </w:tr>
      <w:tr w:rsidR="00835A34" w:rsidRPr="00AC4969" w14:paraId="5C2EDFBA" w14:textId="77777777" w:rsidTr="009B057A">
        <w:trPr>
          <w:trHeight w:val="23"/>
        </w:trPr>
        <w:tc>
          <w:tcPr>
            <w:tcW w:w="5606" w:type="dxa"/>
            <w:shd w:val="clear" w:color="auto" w:fill="auto"/>
            <w:noWrap/>
            <w:hideMark/>
          </w:tcPr>
          <w:p w14:paraId="13791E40" w14:textId="77777777" w:rsidR="00835A34" w:rsidRPr="00E62248" w:rsidRDefault="00835A34" w:rsidP="00835A34">
            <w:pPr>
              <w:rPr>
                <w:b/>
                <w:bCs/>
                <w:sz w:val="22"/>
                <w:szCs w:val="22"/>
                <w:lang w:val="el-GR"/>
              </w:rPr>
            </w:pPr>
            <w:r w:rsidRPr="00E62248">
              <w:rPr>
                <w:b/>
                <w:bCs/>
                <w:sz w:val="22"/>
                <w:szCs w:val="22"/>
                <w:lang w:val="el-GR"/>
              </w:rPr>
              <w:t xml:space="preserve">Μερίδια αμοιβαίων κεφαλαίων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A3705" w14:textId="77777777" w:rsidR="00835A34" w:rsidRPr="00883D7D" w:rsidRDefault="00835A34" w:rsidP="00835A34">
            <w:pPr>
              <w:jc w:val="right"/>
              <w:rPr>
                <w:b/>
                <w:bCs/>
                <w:szCs w:val="24"/>
              </w:rPr>
            </w:pPr>
            <w:r w:rsidRPr="00883D7D">
              <w:rPr>
                <w:b/>
                <w:bCs/>
                <w:szCs w:val="24"/>
              </w:rPr>
              <w:t>6.438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6D9661" w14:textId="77777777" w:rsidR="00835A34" w:rsidRPr="00835A34" w:rsidRDefault="00835A34" w:rsidP="00835A34">
            <w:pPr>
              <w:jc w:val="right"/>
              <w:rPr>
                <w:b/>
                <w:bCs/>
                <w:szCs w:val="24"/>
              </w:rPr>
            </w:pPr>
            <w:r w:rsidRPr="00835A34">
              <w:rPr>
                <w:b/>
                <w:bCs/>
                <w:szCs w:val="24"/>
              </w:rPr>
              <w:t>6.808</w:t>
            </w:r>
          </w:p>
        </w:tc>
      </w:tr>
      <w:tr w:rsidR="00835A34" w:rsidRPr="00AC4969" w14:paraId="5459F762" w14:textId="77777777" w:rsidTr="009B057A">
        <w:trPr>
          <w:trHeight w:val="23"/>
        </w:trPr>
        <w:tc>
          <w:tcPr>
            <w:tcW w:w="5606" w:type="dxa"/>
            <w:shd w:val="clear" w:color="auto" w:fill="auto"/>
            <w:noWrap/>
            <w:hideMark/>
          </w:tcPr>
          <w:p w14:paraId="0D49D045" w14:textId="77777777" w:rsidR="00835A34" w:rsidRPr="00E62248" w:rsidRDefault="00835A34" w:rsidP="00835A34">
            <w:pPr>
              <w:tabs>
                <w:tab w:val="left" w:pos="4255"/>
              </w:tabs>
              <w:rPr>
                <w:i/>
                <w:iCs/>
                <w:sz w:val="22"/>
                <w:szCs w:val="22"/>
                <w:lang w:val="el-GR"/>
              </w:rPr>
            </w:pPr>
            <w:r w:rsidRPr="00E62248">
              <w:rPr>
                <w:i/>
                <w:iCs/>
                <w:sz w:val="22"/>
                <w:szCs w:val="22"/>
                <w:lang w:val="el-GR"/>
              </w:rPr>
              <w:t xml:space="preserve">          Εσωτερικό</w:t>
            </w:r>
            <w:r w:rsidRPr="00E62248">
              <w:rPr>
                <w:i/>
                <w:iCs/>
                <w:sz w:val="22"/>
                <w:szCs w:val="22"/>
                <w:lang w:val="el-GR"/>
              </w:rPr>
              <w:tab/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7978B" w14:textId="77777777" w:rsidR="00835A34" w:rsidRPr="00883D7D" w:rsidRDefault="00835A34" w:rsidP="00835A34">
            <w:pPr>
              <w:jc w:val="right"/>
              <w:rPr>
                <w:i/>
                <w:iCs/>
                <w:szCs w:val="24"/>
              </w:rPr>
            </w:pPr>
            <w:r w:rsidRPr="00883D7D">
              <w:rPr>
                <w:i/>
                <w:iCs/>
                <w:szCs w:val="24"/>
              </w:rPr>
              <w:t>1.907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0D9D56" w14:textId="77777777" w:rsidR="00835A34" w:rsidRPr="00835A34" w:rsidRDefault="00835A34" w:rsidP="00835A34">
            <w:pPr>
              <w:jc w:val="right"/>
              <w:rPr>
                <w:bCs/>
                <w:szCs w:val="24"/>
              </w:rPr>
            </w:pPr>
            <w:r w:rsidRPr="00835A34">
              <w:rPr>
                <w:bCs/>
                <w:szCs w:val="24"/>
              </w:rPr>
              <w:t>2.057</w:t>
            </w:r>
          </w:p>
        </w:tc>
      </w:tr>
      <w:tr w:rsidR="00835A34" w:rsidRPr="00070BDE" w14:paraId="6E2759EB" w14:textId="77777777" w:rsidTr="009B057A">
        <w:trPr>
          <w:trHeight w:val="23"/>
        </w:trPr>
        <w:tc>
          <w:tcPr>
            <w:tcW w:w="5606" w:type="dxa"/>
            <w:shd w:val="clear" w:color="auto" w:fill="auto"/>
            <w:noWrap/>
            <w:hideMark/>
          </w:tcPr>
          <w:p w14:paraId="1A745048" w14:textId="77777777" w:rsidR="00835A34" w:rsidRPr="00E62248" w:rsidRDefault="00835A34" w:rsidP="00835A34">
            <w:pPr>
              <w:rPr>
                <w:i/>
                <w:iCs/>
                <w:sz w:val="22"/>
                <w:szCs w:val="22"/>
              </w:rPr>
            </w:pPr>
            <w:r w:rsidRPr="00E62248">
              <w:rPr>
                <w:i/>
                <w:iCs/>
                <w:sz w:val="22"/>
                <w:szCs w:val="22"/>
                <w:lang w:val="el-GR"/>
              </w:rPr>
              <w:t xml:space="preserve">          </w:t>
            </w:r>
            <w:r w:rsidRPr="00E62248">
              <w:rPr>
                <w:i/>
                <w:iCs/>
                <w:sz w:val="22"/>
                <w:szCs w:val="22"/>
              </w:rPr>
              <w:t>Εξωτερικό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8A049" w14:textId="77777777" w:rsidR="00835A34" w:rsidRPr="00883D7D" w:rsidRDefault="00835A34" w:rsidP="00835A34">
            <w:pPr>
              <w:jc w:val="right"/>
              <w:rPr>
                <w:i/>
                <w:iCs/>
                <w:szCs w:val="24"/>
              </w:rPr>
            </w:pPr>
            <w:r w:rsidRPr="00883D7D">
              <w:rPr>
                <w:i/>
                <w:iCs/>
                <w:szCs w:val="24"/>
              </w:rPr>
              <w:t>4.531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6A1152" w14:textId="77777777" w:rsidR="00835A34" w:rsidRPr="00835A34" w:rsidRDefault="00835A34" w:rsidP="00835A34">
            <w:pPr>
              <w:jc w:val="right"/>
              <w:rPr>
                <w:bCs/>
                <w:szCs w:val="24"/>
              </w:rPr>
            </w:pPr>
            <w:r w:rsidRPr="00835A34">
              <w:rPr>
                <w:bCs/>
                <w:szCs w:val="24"/>
              </w:rPr>
              <w:t>4.751</w:t>
            </w:r>
          </w:p>
        </w:tc>
      </w:tr>
      <w:tr w:rsidR="00835A34" w:rsidRPr="00070BDE" w14:paraId="6EF5EE8B" w14:textId="77777777" w:rsidTr="009B057A">
        <w:trPr>
          <w:trHeight w:val="23"/>
        </w:trPr>
        <w:tc>
          <w:tcPr>
            <w:tcW w:w="5606" w:type="dxa"/>
            <w:shd w:val="clear" w:color="auto" w:fill="auto"/>
            <w:hideMark/>
          </w:tcPr>
          <w:p w14:paraId="76B1721F" w14:textId="77777777" w:rsidR="00835A34" w:rsidRPr="00164650" w:rsidRDefault="00835A34" w:rsidP="00835A34">
            <w:pPr>
              <w:rPr>
                <w:b/>
                <w:bCs/>
                <w:sz w:val="22"/>
                <w:szCs w:val="22"/>
                <w:lang w:val="el-GR"/>
              </w:rPr>
            </w:pPr>
            <w:r w:rsidRPr="00E62248">
              <w:rPr>
                <w:b/>
                <w:bCs/>
                <w:sz w:val="22"/>
                <w:szCs w:val="22"/>
                <w:lang w:val="el-GR"/>
              </w:rPr>
              <w:t>Μετοχές και λοιπά μέσα κυριότητας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402E1" w14:textId="77777777" w:rsidR="00835A34" w:rsidRPr="00883D7D" w:rsidRDefault="00835A34" w:rsidP="00835A34">
            <w:pPr>
              <w:jc w:val="right"/>
              <w:rPr>
                <w:b/>
                <w:bCs/>
                <w:szCs w:val="24"/>
              </w:rPr>
            </w:pPr>
            <w:r w:rsidRPr="00883D7D">
              <w:rPr>
                <w:b/>
                <w:bCs/>
                <w:szCs w:val="24"/>
              </w:rPr>
              <w:t>1.016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9F2FB4" w14:textId="77777777" w:rsidR="00835A34" w:rsidRPr="00835A34" w:rsidRDefault="00835A34" w:rsidP="00835A34">
            <w:pPr>
              <w:jc w:val="right"/>
              <w:rPr>
                <w:b/>
                <w:bCs/>
                <w:szCs w:val="24"/>
              </w:rPr>
            </w:pPr>
            <w:r w:rsidRPr="00835A34">
              <w:rPr>
                <w:b/>
                <w:bCs/>
                <w:szCs w:val="24"/>
              </w:rPr>
              <w:t>1.057</w:t>
            </w:r>
          </w:p>
        </w:tc>
      </w:tr>
      <w:tr w:rsidR="00835A34" w:rsidRPr="00070BDE" w14:paraId="619DAD95" w14:textId="77777777" w:rsidTr="009B057A">
        <w:trPr>
          <w:trHeight w:val="23"/>
        </w:trPr>
        <w:tc>
          <w:tcPr>
            <w:tcW w:w="5606" w:type="dxa"/>
            <w:shd w:val="clear" w:color="auto" w:fill="auto"/>
            <w:noWrap/>
            <w:hideMark/>
          </w:tcPr>
          <w:p w14:paraId="6BCD48BF" w14:textId="77777777" w:rsidR="00835A34" w:rsidRPr="00E62248" w:rsidRDefault="00835A34" w:rsidP="00835A34">
            <w:pPr>
              <w:rPr>
                <w:i/>
                <w:iCs/>
                <w:sz w:val="22"/>
                <w:szCs w:val="22"/>
              </w:rPr>
            </w:pPr>
            <w:r w:rsidRPr="00E62248">
              <w:rPr>
                <w:i/>
                <w:iCs/>
                <w:sz w:val="22"/>
                <w:szCs w:val="22"/>
              </w:rPr>
              <w:t xml:space="preserve">          Εσωτερικό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CCA23" w14:textId="77777777" w:rsidR="00835A34" w:rsidRPr="00566F2F" w:rsidRDefault="00835A34" w:rsidP="00835A34">
            <w:pPr>
              <w:jc w:val="right"/>
              <w:rPr>
                <w:szCs w:val="24"/>
              </w:rPr>
            </w:pPr>
            <w:r w:rsidRPr="00566F2F">
              <w:rPr>
                <w:szCs w:val="24"/>
              </w:rPr>
              <w:t>536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937935" w14:textId="77777777" w:rsidR="00835A34" w:rsidRPr="00835A34" w:rsidRDefault="00835A34" w:rsidP="00835A34">
            <w:pPr>
              <w:jc w:val="right"/>
              <w:rPr>
                <w:bCs/>
                <w:szCs w:val="24"/>
              </w:rPr>
            </w:pPr>
            <w:r w:rsidRPr="00835A34">
              <w:rPr>
                <w:bCs/>
                <w:szCs w:val="24"/>
              </w:rPr>
              <w:t>599</w:t>
            </w:r>
          </w:p>
        </w:tc>
      </w:tr>
      <w:tr w:rsidR="00835A34" w:rsidRPr="00070BDE" w14:paraId="343DBDE4" w14:textId="77777777" w:rsidTr="009B057A">
        <w:trPr>
          <w:trHeight w:val="23"/>
        </w:trPr>
        <w:tc>
          <w:tcPr>
            <w:tcW w:w="5606" w:type="dxa"/>
            <w:shd w:val="clear" w:color="auto" w:fill="auto"/>
            <w:noWrap/>
            <w:hideMark/>
          </w:tcPr>
          <w:p w14:paraId="79192A55" w14:textId="77777777" w:rsidR="00835A34" w:rsidRPr="00E62248" w:rsidRDefault="00835A34" w:rsidP="00835A34">
            <w:pPr>
              <w:rPr>
                <w:i/>
                <w:iCs/>
                <w:sz w:val="22"/>
                <w:szCs w:val="22"/>
              </w:rPr>
            </w:pPr>
            <w:r w:rsidRPr="00E62248">
              <w:rPr>
                <w:i/>
                <w:iCs/>
                <w:sz w:val="22"/>
                <w:szCs w:val="22"/>
              </w:rPr>
              <w:t xml:space="preserve">          Εξωτερικό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9ECB9" w14:textId="77777777" w:rsidR="00835A34" w:rsidRPr="00883D7D" w:rsidRDefault="00835A34" w:rsidP="00835A34">
            <w:pPr>
              <w:jc w:val="right"/>
              <w:rPr>
                <w:i/>
                <w:iCs/>
                <w:szCs w:val="24"/>
              </w:rPr>
            </w:pPr>
            <w:r w:rsidRPr="00883D7D">
              <w:rPr>
                <w:i/>
                <w:iCs/>
                <w:szCs w:val="24"/>
              </w:rPr>
              <w:t>480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7B5A23" w14:textId="77777777" w:rsidR="00835A34" w:rsidRPr="00835A34" w:rsidRDefault="00835A34" w:rsidP="00835A34">
            <w:pPr>
              <w:jc w:val="right"/>
              <w:rPr>
                <w:bCs/>
                <w:szCs w:val="24"/>
              </w:rPr>
            </w:pPr>
            <w:r w:rsidRPr="00835A34">
              <w:rPr>
                <w:bCs/>
                <w:szCs w:val="24"/>
              </w:rPr>
              <w:t>458</w:t>
            </w:r>
          </w:p>
        </w:tc>
      </w:tr>
      <w:tr w:rsidR="00835A34" w:rsidRPr="00070BDE" w14:paraId="2BD7A145" w14:textId="77777777" w:rsidTr="009B057A">
        <w:trPr>
          <w:trHeight w:val="23"/>
        </w:trPr>
        <w:tc>
          <w:tcPr>
            <w:tcW w:w="5606" w:type="dxa"/>
            <w:shd w:val="clear" w:color="auto" w:fill="auto"/>
            <w:noWrap/>
            <w:hideMark/>
          </w:tcPr>
          <w:p w14:paraId="3FAAB11D" w14:textId="77777777" w:rsidR="00835A34" w:rsidRPr="00E62248" w:rsidRDefault="00835A34" w:rsidP="00835A34">
            <w:pPr>
              <w:rPr>
                <w:b/>
                <w:bCs/>
                <w:sz w:val="22"/>
                <w:szCs w:val="22"/>
              </w:rPr>
            </w:pPr>
            <w:r w:rsidRPr="00E62248">
              <w:rPr>
                <w:b/>
                <w:bCs/>
                <w:sz w:val="22"/>
                <w:szCs w:val="22"/>
              </w:rPr>
              <w:t>Πάγια στοιχεία (αναπόσβεστο υπόλοιπο)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984D9" w14:textId="77777777" w:rsidR="00835A34" w:rsidRPr="00C71703" w:rsidRDefault="00835A34" w:rsidP="00835A34">
            <w:pPr>
              <w:jc w:val="right"/>
              <w:rPr>
                <w:b/>
                <w:i/>
                <w:iCs/>
                <w:szCs w:val="24"/>
              </w:rPr>
            </w:pPr>
            <w:r w:rsidRPr="00C71703">
              <w:rPr>
                <w:b/>
                <w:i/>
                <w:iCs/>
                <w:szCs w:val="24"/>
              </w:rPr>
              <w:t>747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4A2E1C" w14:textId="77777777" w:rsidR="00835A34" w:rsidRPr="00835A34" w:rsidRDefault="00835A34" w:rsidP="00835A34">
            <w:pPr>
              <w:jc w:val="right"/>
              <w:rPr>
                <w:b/>
                <w:bCs/>
                <w:szCs w:val="24"/>
              </w:rPr>
            </w:pPr>
            <w:r w:rsidRPr="00835A34">
              <w:rPr>
                <w:b/>
                <w:bCs/>
                <w:szCs w:val="24"/>
              </w:rPr>
              <w:t>752</w:t>
            </w:r>
          </w:p>
        </w:tc>
      </w:tr>
      <w:tr w:rsidR="00835A34" w:rsidRPr="00070BDE" w14:paraId="73D943E5" w14:textId="77777777" w:rsidTr="009B057A">
        <w:trPr>
          <w:trHeight w:val="23"/>
        </w:trPr>
        <w:tc>
          <w:tcPr>
            <w:tcW w:w="5606" w:type="dxa"/>
            <w:shd w:val="clear" w:color="auto" w:fill="auto"/>
            <w:noWrap/>
            <w:hideMark/>
          </w:tcPr>
          <w:p w14:paraId="0A529748" w14:textId="77777777" w:rsidR="00835A34" w:rsidRPr="00E62248" w:rsidRDefault="00835A34" w:rsidP="00835A34">
            <w:pPr>
              <w:rPr>
                <w:b/>
                <w:bCs/>
                <w:sz w:val="22"/>
                <w:szCs w:val="22"/>
              </w:rPr>
            </w:pPr>
            <w:r w:rsidRPr="00E62248">
              <w:rPr>
                <w:b/>
                <w:bCs/>
                <w:sz w:val="22"/>
                <w:szCs w:val="22"/>
              </w:rPr>
              <w:t>Χρηματοοικονομικά Παράγωγα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25603" w14:textId="77777777" w:rsidR="00835A34" w:rsidRPr="00883D7D" w:rsidRDefault="00835A34" w:rsidP="00835A34">
            <w:pPr>
              <w:jc w:val="right"/>
              <w:rPr>
                <w:b/>
                <w:bCs/>
                <w:szCs w:val="24"/>
              </w:rPr>
            </w:pPr>
            <w:r w:rsidRPr="00883D7D">
              <w:rPr>
                <w:b/>
                <w:bCs/>
                <w:szCs w:val="24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2A750D" w14:textId="77777777" w:rsidR="00835A34" w:rsidRPr="00835A34" w:rsidRDefault="00835A34" w:rsidP="00835A34">
            <w:pPr>
              <w:jc w:val="right"/>
              <w:rPr>
                <w:b/>
                <w:bCs/>
                <w:szCs w:val="24"/>
              </w:rPr>
            </w:pPr>
            <w:r w:rsidRPr="00835A34">
              <w:rPr>
                <w:b/>
                <w:bCs/>
                <w:szCs w:val="24"/>
              </w:rPr>
              <w:t>0</w:t>
            </w:r>
          </w:p>
        </w:tc>
      </w:tr>
      <w:tr w:rsidR="00835A34" w:rsidRPr="00070BDE" w14:paraId="342E546C" w14:textId="77777777" w:rsidTr="009B057A">
        <w:trPr>
          <w:trHeight w:val="23"/>
        </w:trPr>
        <w:tc>
          <w:tcPr>
            <w:tcW w:w="5606" w:type="dxa"/>
            <w:shd w:val="clear" w:color="auto" w:fill="auto"/>
            <w:noWrap/>
            <w:hideMark/>
          </w:tcPr>
          <w:p w14:paraId="710E8FAA" w14:textId="77777777" w:rsidR="00835A34" w:rsidRPr="00E62248" w:rsidRDefault="00835A34" w:rsidP="00835A34">
            <w:pPr>
              <w:rPr>
                <w:b/>
                <w:bCs/>
                <w:sz w:val="22"/>
                <w:szCs w:val="22"/>
              </w:rPr>
            </w:pPr>
            <w:r w:rsidRPr="00E62248">
              <w:rPr>
                <w:b/>
                <w:bCs/>
                <w:sz w:val="22"/>
                <w:szCs w:val="22"/>
              </w:rPr>
              <w:t>Δάνεια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A671D" w14:textId="77777777" w:rsidR="00835A34" w:rsidRPr="00566F2F" w:rsidRDefault="00835A34" w:rsidP="00835A34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566F2F">
              <w:rPr>
                <w:b/>
                <w:bCs/>
                <w:i/>
                <w:iCs/>
                <w:szCs w:val="24"/>
              </w:rPr>
              <w:t>171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42B533" w14:textId="77777777" w:rsidR="00835A34" w:rsidRPr="00835A34" w:rsidRDefault="00835A34" w:rsidP="00835A34">
            <w:pPr>
              <w:jc w:val="right"/>
              <w:rPr>
                <w:b/>
                <w:bCs/>
                <w:szCs w:val="24"/>
              </w:rPr>
            </w:pPr>
            <w:r w:rsidRPr="00835A34">
              <w:rPr>
                <w:b/>
                <w:bCs/>
                <w:szCs w:val="24"/>
              </w:rPr>
              <w:t>185</w:t>
            </w:r>
          </w:p>
        </w:tc>
      </w:tr>
      <w:tr w:rsidR="00835A34" w:rsidRPr="00070BDE" w14:paraId="06E702DF" w14:textId="77777777" w:rsidTr="009B057A">
        <w:trPr>
          <w:trHeight w:val="23"/>
        </w:trPr>
        <w:tc>
          <w:tcPr>
            <w:tcW w:w="5606" w:type="dxa"/>
            <w:shd w:val="clear" w:color="auto" w:fill="auto"/>
            <w:noWrap/>
            <w:hideMark/>
          </w:tcPr>
          <w:p w14:paraId="7069867A" w14:textId="77777777" w:rsidR="00835A34" w:rsidRPr="00E62248" w:rsidRDefault="00835A34" w:rsidP="00835A34">
            <w:pPr>
              <w:rPr>
                <w:b/>
                <w:bCs/>
                <w:sz w:val="22"/>
                <w:szCs w:val="22"/>
              </w:rPr>
            </w:pPr>
            <w:r w:rsidRPr="00E62248">
              <w:rPr>
                <w:b/>
                <w:bCs/>
                <w:sz w:val="22"/>
                <w:szCs w:val="22"/>
              </w:rPr>
              <w:t>Αντασφαλιστές/Αντασφαλιζόμενοι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8EEF5" w14:textId="77777777" w:rsidR="00835A34" w:rsidRPr="00883D7D" w:rsidRDefault="00835A34" w:rsidP="00835A34">
            <w:pPr>
              <w:jc w:val="right"/>
              <w:rPr>
                <w:b/>
                <w:bCs/>
                <w:szCs w:val="24"/>
              </w:rPr>
            </w:pPr>
            <w:r w:rsidRPr="00883D7D">
              <w:rPr>
                <w:b/>
                <w:bCs/>
                <w:szCs w:val="24"/>
              </w:rPr>
              <w:t>765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D3F190" w14:textId="77777777" w:rsidR="00835A34" w:rsidRPr="00835A34" w:rsidRDefault="00835A34" w:rsidP="00835A34">
            <w:pPr>
              <w:jc w:val="right"/>
              <w:rPr>
                <w:b/>
                <w:bCs/>
                <w:szCs w:val="24"/>
              </w:rPr>
            </w:pPr>
            <w:r w:rsidRPr="00835A34">
              <w:rPr>
                <w:b/>
                <w:bCs/>
                <w:szCs w:val="24"/>
              </w:rPr>
              <w:t>701</w:t>
            </w:r>
          </w:p>
        </w:tc>
      </w:tr>
      <w:tr w:rsidR="00835A34" w:rsidRPr="00070BDE" w14:paraId="7D0AB18A" w14:textId="77777777" w:rsidTr="009B057A">
        <w:trPr>
          <w:trHeight w:val="23"/>
        </w:trPr>
        <w:tc>
          <w:tcPr>
            <w:tcW w:w="5606" w:type="dxa"/>
            <w:shd w:val="clear" w:color="auto" w:fill="auto"/>
            <w:noWrap/>
            <w:hideMark/>
          </w:tcPr>
          <w:p w14:paraId="6765EB84" w14:textId="77777777" w:rsidR="00835A34" w:rsidRPr="00E62248" w:rsidRDefault="00835A34" w:rsidP="00835A34">
            <w:pPr>
              <w:rPr>
                <w:b/>
                <w:bCs/>
                <w:sz w:val="22"/>
                <w:szCs w:val="22"/>
              </w:rPr>
            </w:pPr>
            <w:r w:rsidRPr="00E62248">
              <w:rPr>
                <w:b/>
                <w:bCs/>
                <w:sz w:val="22"/>
                <w:szCs w:val="22"/>
              </w:rPr>
              <w:t>Λοιπά στοιχεία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9243C" w14:textId="77777777" w:rsidR="00835A34" w:rsidRPr="00C71703" w:rsidRDefault="00835A34" w:rsidP="00835A34">
            <w:pPr>
              <w:jc w:val="right"/>
              <w:rPr>
                <w:b/>
                <w:i/>
                <w:iCs/>
                <w:szCs w:val="24"/>
              </w:rPr>
            </w:pPr>
            <w:r w:rsidRPr="00C71703">
              <w:rPr>
                <w:b/>
                <w:i/>
                <w:iCs/>
                <w:szCs w:val="24"/>
              </w:rPr>
              <w:t>869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BFE040" w14:textId="77777777" w:rsidR="00835A34" w:rsidRPr="00835A34" w:rsidRDefault="00835A34" w:rsidP="00835A34">
            <w:pPr>
              <w:jc w:val="right"/>
              <w:rPr>
                <w:b/>
                <w:bCs/>
                <w:szCs w:val="24"/>
              </w:rPr>
            </w:pPr>
            <w:r w:rsidRPr="00835A34">
              <w:rPr>
                <w:b/>
                <w:bCs/>
                <w:szCs w:val="24"/>
              </w:rPr>
              <w:t>827</w:t>
            </w:r>
          </w:p>
        </w:tc>
      </w:tr>
      <w:tr w:rsidR="00835A34" w:rsidRPr="00070BDE" w14:paraId="6E6D7F04" w14:textId="77777777" w:rsidTr="009B057A">
        <w:trPr>
          <w:trHeight w:val="23"/>
        </w:trPr>
        <w:tc>
          <w:tcPr>
            <w:tcW w:w="5606" w:type="dxa"/>
            <w:shd w:val="clear" w:color="auto" w:fill="auto"/>
            <w:noWrap/>
            <w:hideMark/>
          </w:tcPr>
          <w:p w14:paraId="1E4A077A" w14:textId="77777777" w:rsidR="00835A34" w:rsidRPr="00E62248" w:rsidRDefault="00835A34" w:rsidP="00835A3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62248">
              <w:rPr>
                <w:b/>
                <w:bCs/>
                <w:i/>
                <w:iCs/>
                <w:sz w:val="22"/>
                <w:szCs w:val="22"/>
              </w:rPr>
              <w:t>Σύνολο Ενεργητικού / Παθητικού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D8F0A" w14:textId="77777777" w:rsidR="00835A34" w:rsidRPr="00883D7D" w:rsidRDefault="00835A34" w:rsidP="00835A34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883D7D">
              <w:rPr>
                <w:b/>
                <w:bCs/>
                <w:i/>
                <w:iCs/>
                <w:szCs w:val="24"/>
              </w:rPr>
              <w:t>21.059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35438E" w14:textId="77777777" w:rsidR="00835A34" w:rsidRPr="00835A34" w:rsidRDefault="00835A34" w:rsidP="00835A34">
            <w:pPr>
              <w:jc w:val="right"/>
              <w:rPr>
                <w:b/>
                <w:bCs/>
                <w:szCs w:val="24"/>
              </w:rPr>
            </w:pPr>
            <w:r w:rsidRPr="00835A34">
              <w:rPr>
                <w:b/>
                <w:bCs/>
                <w:szCs w:val="24"/>
              </w:rPr>
              <w:t>21.503</w:t>
            </w:r>
          </w:p>
        </w:tc>
      </w:tr>
      <w:tr w:rsidR="00835A34" w:rsidRPr="00070BDE" w14:paraId="732136CF" w14:textId="77777777" w:rsidTr="00BF7489">
        <w:trPr>
          <w:trHeight w:val="340"/>
        </w:trPr>
        <w:tc>
          <w:tcPr>
            <w:tcW w:w="5606" w:type="dxa"/>
            <w:shd w:val="clear" w:color="auto" w:fill="auto"/>
            <w:noWrap/>
            <w:vAlign w:val="center"/>
          </w:tcPr>
          <w:p w14:paraId="79AEB3E3" w14:textId="77777777" w:rsidR="00835A34" w:rsidRPr="00E62248" w:rsidRDefault="00835A34" w:rsidP="00835A3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62248">
              <w:rPr>
                <w:b/>
                <w:bCs/>
                <w:i/>
                <w:iCs/>
                <w:sz w:val="22"/>
                <w:szCs w:val="22"/>
              </w:rPr>
              <w:t>ΠΑΘΗΤΙΚΟ</w:t>
            </w:r>
          </w:p>
        </w:tc>
        <w:tc>
          <w:tcPr>
            <w:tcW w:w="1562" w:type="dxa"/>
            <w:shd w:val="clear" w:color="auto" w:fill="auto"/>
            <w:noWrap/>
          </w:tcPr>
          <w:p w14:paraId="3E37F9FC" w14:textId="77777777" w:rsidR="00835A34" w:rsidRPr="00AA31E7" w:rsidRDefault="00835A34" w:rsidP="00835A34">
            <w:pPr>
              <w:jc w:val="right"/>
              <w:rPr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</w:tcPr>
          <w:p w14:paraId="047E0F65" w14:textId="77777777" w:rsidR="00835A34" w:rsidRPr="00AA31E7" w:rsidRDefault="00835A34" w:rsidP="00835A34">
            <w:pPr>
              <w:jc w:val="right"/>
              <w:rPr>
                <w:szCs w:val="24"/>
              </w:rPr>
            </w:pPr>
          </w:p>
        </w:tc>
      </w:tr>
      <w:tr w:rsidR="00835A34" w:rsidRPr="00AC4969" w14:paraId="5C29A44A" w14:textId="77777777" w:rsidTr="00E27A7F">
        <w:trPr>
          <w:trHeight w:val="23"/>
        </w:trPr>
        <w:tc>
          <w:tcPr>
            <w:tcW w:w="5606" w:type="dxa"/>
            <w:shd w:val="clear" w:color="auto" w:fill="auto"/>
            <w:noWrap/>
          </w:tcPr>
          <w:p w14:paraId="5C4087FA" w14:textId="77777777" w:rsidR="00835A34" w:rsidRPr="00E62248" w:rsidRDefault="00835A34" w:rsidP="00835A3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62248">
              <w:rPr>
                <w:b/>
                <w:bCs/>
                <w:sz w:val="22"/>
                <w:szCs w:val="22"/>
              </w:rPr>
              <w:t>Ίδια</w:t>
            </w:r>
            <w:r w:rsidRPr="00E6224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62248">
              <w:rPr>
                <w:b/>
                <w:bCs/>
                <w:sz w:val="22"/>
                <w:szCs w:val="22"/>
              </w:rPr>
              <w:t xml:space="preserve">Κεφάλαια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D6780" w14:textId="77777777" w:rsidR="00835A34" w:rsidRPr="001529B2" w:rsidRDefault="00835A34" w:rsidP="00835A34">
            <w:pPr>
              <w:jc w:val="right"/>
              <w:rPr>
                <w:b/>
                <w:bCs/>
                <w:szCs w:val="24"/>
                <w:lang w:val="en-US" w:eastAsia="en-US"/>
              </w:rPr>
            </w:pPr>
            <w:r w:rsidRPr="001529B2">
              <w:rPr>
                <w:b/>
                <w:bCs/>
                <w:szCs w:val="24"/>
              </w:rPr>
              <w:t>3.566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85FA2" w14:textId="77777777" w:rsidR="00835A34" w:rsidRDefault="00835A34" w:rsidP="00835A34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</w:rPr>
              <w:t>3.800</w:t>
            </w:r>
          </w:p>
        </w:tc>
      </w:tr>
      <w:tr w:rsidR="00835A34" w:rsidRPr="00AC4969" w14:paraId="3AD5E428" w14:textId="77777777" w:rsidTr="00E27A7F">
        <w:trPr>
          <w:trHeight w:val="23"/>
        </w:trPr>
        <w:tc>
          <w:tcPr>
            <w:tcW w:w="5606" w:type="dxa"/>
            <w:shd w:val="clear" w:color="auto" w:fill="auto"/>
            <w:noWrap/>
          </w:tcPr>
          <w:p w14:paraId="44908DF0" w14:textId="77777777" w:rsidR="00835A34" w:rsidRPr="00E62248" w:rsidRDefault="00835A34" w:rsidP="00835A34">
            <w:pPr>
              <w:rPr>
                <w:b/>
                <w:bCs/>
                <w:i/>
                <w:iCs/>
                <w:sz w:val="22"/>
                <w:szCs w:val="22"/>
                <w:lang w:val="el-GR"/>
              </w:rPr>
            </w:pPr>
            <w:r w:rsidRPr="00E62248">
              <w:rPr>
                <w:b/>
                <w:bCs/>
                <w:sz w:val="22"/>
                <w:szCs w:val="22"/>
                <w:lang w:val="el-GR"/>
              </w:rPr>
              <w:t>Ασφαλιστικές προβλέψεις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20EF8" w14:textId="77777777" w:rsidR="00835A34" w:rsidRPr="001529B2" w:rsidRDefault="00835A34" w:rsidP="00835A34">
            <w:pPr>
              <w:jc w:val="right"/>
              <w:rPr>
                <w:b/>
                <w:bCs/>
                <w:szCs w:val="24"/>
              </w:rPr>
            </w:pPr>
            <w:r w:rsidRPr="001529B2">
              <w:rPr>
                <w:b/>
                <w:bCs/>
                <w:szCs w:val="24"/>
              </w:rPr>
              <w:t>15.555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537AD" w14:textId="77777777" w:rsidR="00835A34" w:rsidRDefault="00835A34" w:rsidP="00835A3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15.732</w:t>
            </w:r>
          </w:p>
        </w:tc>
      </w:tr>
      <w:tr w:rsidR="00835A34" w:rsidRPr="00AC4969" w14:paraId="24148D67" w14:textId="77777777" w:rsidTr="00E27A7F">
        <w:trPr>
          <w:trHeight w:val="23"/>
        </w:trPr>
        <w:tc>
          <w:tcPr>
            <w:tcW w:w="5606" w:type="dxa"/>
            <w:shd w:val="clear" w:color="auto" w:fill="auto"/>
            <w:noWrap/>
          </w:tcPr>
          <w:p w14:paraId="3A9E9332" w14:textId="77777777" w:rsidR="00835A34" w:rsidRPr="00E62248" w:rsidRDefault="00835A34" w:rsidP="00835A34">
            <w:pPr>
              <w:rPr>
                <w:b/>
                <w:bCs/>
                <w:i/>
                <w:iCs/>
                <w:sz w:val="22"/>
                <w:szCs w:val="22"/>
                <w:lang w:val="el-GR"/>
              </w:rPr>
            </w:pPr>
            <w:r w:rsidRPr="00E62248">
              <w:rPr>
                <w:sz w:val="22"/>
                <w:szCs w:val="22"/>
                <w:lang w:val="el-GR"/>
              </w:rPr>
              <w:t xml:space="preserve">  Ασφαλιστικές Τεχνικές Προβλέψεις Ζωής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1B5A2" w14:textId="77777777" w:rsidR="00835A34" w:rsidRPr="001529B2" w:rsidRDefault="00835A34" w:rsidP="00835A34">
            <w:pPr>
              <w:jc w:val="right"/>
              <w:rPr>
                <w:szCs w:val="24"/>
              </w:rPr>
            </w:pPr>
            <w:r w:rsidRPr="001529B2">
              <w:rPr>
                <w:szCs w:val="24"/>
              </w:rPr>
              <w:t>11.950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20B34" w14:textId="77777777" w:rsidR="00835A34" w:rsidRDefault="00835A34" w:rsidP="00835A3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12.129</w:t>
            </w:r>
          </w:p>
        </w:tc>
      </w:tr>
      <w:tr w:rsidR="00835A34" w:rsidRPr="00AC4969" w14:paraId="08B38369" w14:textId="77777777" w:rsidTr="00E27A7F">
        <w:trPr>
          <w:trHeight w:val="23"/>
        </w:trPr>
        <w:tc>
          <w:tcPr>
            <w:tcW w:w="5606" w:type="dxa"/>
            <w:shd w:val="clear" w:color="auto" w:fill="auto"/>
            <w:noWrap/>
          </w:tcPr>
          <w:p w14:paraId="43817525" w14:textId="77777777" w:rsidR="00835A34" w:rsidRPr="00E62248" w:rsidRDefault="00835A34" w:rsidP="00835A34">
            <w:pPr>
              <w:rPr>
                <w:b/>
                <w:bCs/>
                <w:i/>
                <w:iCs/>
                <w:sz w:val="22"/>
                <w:szCs w:val="22"/>
                <w:lang w:val="el-GR"/>
              </w:rPr>
            </w:pPr>
            <w:r w:rsidRPr="00E62248">
              <w:rPr>
                <w:sz w:val="22"/>
                <w:szCs w:val="22"/>
                <w:lang w:val="el-GR"/>
              </w:rPr>
              <w:t xml:space="preserve">  Ασφαλιστικές Τεχνικές Προβλέψεις Ζημιών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7E647" w14:textId="77777777" w:rsidR="00835A34" w:rsidRPr="001529B2" w:rsidRDefault="00835A34" w:rsidP="00835A34">
            <w:pPr>
              <w:jc w:val="right"/>
              <w:rPr>
                <w:szCs w:val="24"/>
                <w:lang w:val="en-US" w:eastAsia="en-US"/>
              </w:rPr>
            </w:pPr>
            <w:r w:rsidRPr="001529B2">
              <w:rPr>
                <w:szCs w:val="24"/>
              </w:rPr>
              <w:t>3.605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A29D5" w14:textId="77777777" w:rsidR="00835A34" w:rsidRDefault="00835A34" w:rsidP="00835A34">
            <w:pPr>
              <w:jc w:val="right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3.603</w:t>
            </w:r>
          </w:p>
        </w:tc>
      </w:tr>
      <w:tr w:rsidR="00835A34" w:rsidRPr="00AC4969" w14:paraId="3E0B0547" w14:textId="77777777" w:rsidTr="00E27A7F">
        <w:trPr>
          <w:trHeight w:val="23"/>
        </w:trPr>
        <w:tc>
          <w:tcPr>
            <w:tcW w:w="5606" w:type="dxa"/>
            <w:shd w:val="clear" w:color="auto" w:fill="auto"/>
            <w:noWrap/>
          </w:tcPr>
          <w:p w14:paraId="69C4FB01" w14:textId="77777777" w:rsidR="00835A34" w:rsidRPr="00E62248" w:rsidRDefault="00835A34" w:rsidP="00835A34">
            <w:pPr>
              <w:rPr>
                <w:b/>
                <w:bCs/>
                <w:i/>
                <w:iCs/>
                <w:sz w:val="22"/>
                <w:szCs w:val="22"/>
                <w:lang w:val="el-GR"/>
              </w:rPr>
            </w:pPr>
            <w:r w:rsidRPr="00E62248">
              <w:rPr>
                <w:b/>
                <w:bCs/>
                <w:sz w:val="22"/>
                <w:szCs w:val="22"/>
                <w:lang w:val="el-GR"/>
              </w:rPr>
              <w:t>Δάνεια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E477B" w14:textId="77777777" w:rsidR="00835A34" w:rsidRPr="001529B2" w:rsidRDefault="00835A34" w:rsidP="00835A34">
            <w:pPr>
              <w:jc w:val="right"/>
              <w:rPr>
                <w:b/>
                <w:bCs/>
                <w:szCs w:val="24"/>
              </w:rPr>
            </w:pPr>
            <w:r w:rsidRPr="001529B2">
              <w:rPr>
                <w:b/>
                <w:bCs/>
                <w:szCs w:val="24"/>
              </w:rPr>
              <w:t>353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905AA" w14:textId="77777777" w:rsidR="00835A34" w:rsidRDefault="00835A34" w:rsidP="00835A3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349</w:t>
            </w:r>
          </w:p>
        </w:tc>
      </w:tr>
      <w:tr w:rsidR="00835A34" w:rsidRPr="00AC4969" w14:paraId="2827165F" w14:textId="77777777" w:rsidTr="00E27A7F">
        <w:trPr>
          <w:trHeight w:val="23"/>
        </w:trPr>
        <w:tc>
          <w:tcPr>
            <w:tcW w:w="5606" w:type="dxa"/>
            <w:shd w:val="clear" w:color="auto" w:fill="auto"/>
            <w:noWrap/>
          </w:tcPr>
          <w:p w14:paraId="47D64950" w14:textId="77777777" w:rsidR="00835A34" w:rsidRPr="00E62248" w:rsidRDefault="00835A34" w:rsidP="00835A34">
            <w:pPr>
              <w:rPr>
                <w:b/>
                <w:bCs/>
                <w:i/>
                <w:iCs/>
                <w:sz w:val="22"/>
                <w:szCs w:val="22"/>
                <w:lang w:val="el-GR"/>
              </w:rPr>
            </w:pPr>
            <w:r w:rsidRPr="00E62248">
              <w:rPr>
                <w:b/>
                <w:bCs/>
                <w:sz w:val="22"/>
                <w:szCs w:val="22"/>
                <w:lang w:val="el-GR"/>
              </w:rPr>
              <w:t>Λοιπά στοιχεία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757B6" w14:textId="77777777" w:rsidR="00835A34" w:rsidRPr="001529B2" w:rsidRDefault="00835A34" w:rsidP="00835A34">
            <w:pPr>
              <w:jc w:val="right"/>
              <w:rPr>
                <w:b/>
                <w:bCs/>
                <w:szCs w:val="24"/>
              </w:rPr>
            </w:pPr>
            <w:r w:rsidRPr="001529B2">
              <w:rPr>
                <w:b/>
                <w:bCs/>
                <w:szCs w:val="24"/>
              </w:rPr>
              <w:t>1.586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C85D5" w14:textId="77777777" w:rsidR="00835A34" w:rsidRDefault="00835A34" w:rsidP="00835A3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1.622</w:t>
            </w:r>
          </w:p>
        </w:tc>
      </w:tr>
    </w:tbl>
    <w:p w14:paraId="7E920AC2" w14:textId="77777777" w:rsidR="00EE0810" w:rsidRDefault="00EE0810" w:rsidP="00036433">
      <w:pPr>
        <w:jc w:val="both"/>
        <w:rPr>
          <w:b/>
          <w:sz w:val="22"/>
          <w:szCs w:val="22"/>
          <w:lang w:val="el-GR"/>
        </w:rPr>
      </w:pPr>
    </w:p>
    <w:p w14:paraId="43B3A2EC" w14:textId="77777777" w:rsidR="00036433" w:rsidRPr="00FF0E56" w:rsidRDefault="00036433" w:rsidP="003B10B9">
      <w:pPr>
        <w:keepNext/>
        <w:widowControl w:val="0"/>
        <w:jc w:val="both"/>
        <w:rPr>
          <w:b/>
          <w:sz w:val="22"/>
          <w:szCs w:val="22"/>
          <w:lang w:val="en-US"/>
        </w:rPr>
      </w:pPr>
      <w:r w:rsidRPr="006950E4">
        <w:rPr>
          <w:b/>
          <w:sz w:val="22"/>
          <w:szCs w:val="22"/>
          <w:lang w:val="el-GR"/>
        </w:rPr>
        <w:lastRenderedPageBreak/>
        <w:t>Πίνακας 2: Καθαρές ροές</w:t>
      </w:r>
      <w:r w:rsidR="00386254" w:rsidRPr="006E2C34">
        <w:rPr>
          <w:b/>
          <w:sz w:val="22"/>
          <w:szCs w:val="22"/>
          <w:lang w:val="el-GR"/>
        </w:rPr>
        <w:t xml:space="preserve"> </w:t>
      </w:r>
      <w:r w:rsidRPr="006950E4">
        <w:rPr>
          <w:b/>
          <w:sz w:val="22"/>
          <w:szCs w:val="22"/>
          <w:lang w:val="el-GR"/>
        </w:rPr>
        <w:t>τοποθετήσεων των Ασφαλιστικών Επιχειρήσεων</w:t>
      </w:r>
    </w:p>
    <w:p w14:paraId="5D7E07AE" w14:textId="77777777" w:rsidR="00036433" w:rsidRDefault="00036433" w:rsidP="003B10B9">
      <w:pPr>
        <w:keepNext/>
        <w:widowControl w:val="0"/>
        <w:jc w:val="both"/>
        <w:rPr>
          <w:b/>
          <w:sz w:val="22"/>
          <w:szCs w:val="22"/>
        </w:rPr>
      </w:pPr>
      <w:r w:rsidRPr="006950E4">
        <w:rPr>
          <w:b/>
          <w:sz w:val="22"/>
          <w:szCs w:val="22"/>
        </w:rPr>
        <w:t>(σε εκατ. ευρώ)</w:t>
      </w:r>
    </w:p>
    <w:p w14:paraId="46F99725" w14:textId="77777777" w:rsidR="00036433" w:rsidRPr="006950E4" w:rsidRDefault="00036433" w:rsidP="003B10B9">
      <w:pPr>
        <w:keepNext/>
        <w:widowControl w:val="0"/>
        <w:jc w:val="both"/>
        <w:rPr>
          <w:b/>
          <w:sz w:val="22"/>
          <w:szCs w:val="2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418"/>
        <w:gridCol w:w="1417"/>
      </w:tblGrid>
      <w:tr w:rsidR="007D183C" w:rsidRPr="00070BDE" w14:paraId="0A161B37" w14:textId="77777777" w:rsidTr="004842B7">
        <w:tc>
          <w:tcPr>
            <w:tcW w:w="5778" w:type="dxa"/>
            <w:shd w:val="clear" w:color="auto" w:fill="auto"/>
          </w:tcPr>
          <w:p w14:paraId="702846B9" w14:textId="77777777" w:rsidR="007D183C" w:rsidRPr="007F2DA5" w:rsidRDefault="007D183C" w:rsidP="003B10B9">
            <w:pPr>
              <w:keepNext/>
              <w:widowControl w:val="0"/>
              <w:jc w:val="both"/>
              <w:rPr>
                <w:i/>
                <w:sz w:val="22"/>
              </w:rPr>
            </w:pPr>
            <w:r w:rsidRPr="007F2DA5">
              <w:rPr>
                <w:i/>
                <w:sz w:val="22"/>
              </w:rPr>
              <w:t>Τοποθετήσεις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2E10B5" w14:textId="77777777" w:rsidR="007D183C" w:rsidRPr="00FF0E56" w:rsidRDefault="00835A34" w:rsidP="003B10B9">
            <w:pPr>
              <w:keepNext/>
              <w:widowControl w:val="0"/>
              <w:jc w:val="center"/>
              <w:rPr>
                <w:i/>
                <w:iCs/>
                <w:sz w:val="22"/>
                <w:lang w:val="el-GR"/>
              </w:rPr>
            </w:pPr>
            <w:r>
              <w:rPr>
                <w:i/>
                <w:iCs/>
                <w:sz w:val="22"/>
                <w:lang w:val="el-GR"/>
              </w:rPr>
              <w:t>2025           Α</w:t>
            </w:r>
            <w:r w:rsidR="004842B7" w:rsidRPr="004842B7">
              <w:rPr>
                <w:i/>
                <w:iCs/>
                <w:sz w:val="22"/>
                <w:lang w:val="el-GR"/>
              </w:rPr>
              <w:t>΄ τρίμηνο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43C002" w14:textId="77777777" w:rsidR="004842B7" w:rsidRPr="004842B7" w:rsidRDefault="004842B7" w:rsidP="004842B7">
            <w:pPr>
              <w:keepNext/>
              <w:widowControl w:val="0"/>
              <w:jc w:val="center"/>
              <w:rPr>
                <w:i/>
                <w:iCs/>
                <w:sz w:val="22"/>
                <w:lang w:val="el-GR"/>
              </w:rPr>
            </w:pPr>
            <w:r w:rsidRPr="004842B7">
              <w:rPr>
                <w:i/>
                <w:iCs/>
                <w:sz w:val="22"/>
                <w:lang w:val="el-GR"/>
              </w:rPr>
              <w:t>2025</w:t>
            </w:r>
          </w:p>
          <w:p w14:paraId="7029AE71" w14:textId="77777777" w:rsidR="007D183C" w:rsidRPr="007F2DA5" w:rsidRDefault="00835A34" w:rsidP="004842B7">
            <w:pPr>
              <w:keepNext/>
              <w:widowControl w:val="0"/>
              <w:jc w:val="center"/>
              <w:rPr>
                <w:i/>
                <w:iCs/>
                <w:sz w:val="22"/>
                <w:lang w:val="el-GR"/>
              </w:rPr>
            </w:pPr>
            <w:r>
              <w:rPr>
                <w:i/>
                <w:iCs/>
                <w:sz w:val="22"/>
                <w:lang w:val="el-GR"/>
              </w:rPr>
              <w:t>Β</w:t>
            </w:r>
            <w:r w:rsidR="004842B7" w:rsidRPr="004842B7">
              <w:rPr>
                <w:i/>
                <w:iCs/>
                <w:sz w:val="22"/>
                <w:lang w:val="el-GR"/>
              </w:rPr>
              <w:t>΄</w:t>
            </w:r>
            <w:r w:rsidR="004842B7" w:rsidRPr="004842B7">
              <w:rPr>
                <w:i/>
                <w:iCs/>
                <w:sz w:val="22"/>
                <w:lang w:val="en-US"/>
              </w:rPr>
              <w:t xml:space="preserve"> </w:t>
            </w:r>
            <w:r w:rsidR="004842B7" w:rsidRPr="004842B7">
              <w:rPr>
                <w:i/>
                <w:iCs/>
                <w:sz w:val="22"/>
                <w:lang w:val="el-GR"/>
              </w:rPr>
              <w:t xml:space="preserve"> τρίμηνο</w:t>
            </w:r>
          </w:p>
        </w:tc>
      </w:tr>
      <w:tr w:rsidR="00835A34" w:rsidRPr="00070BDE" w14:paraId="31217499" w14:textId="77777777" w:rsidTr="004842B7">
        <w:trPr>
          <w:trHeight w:val="279"/>
        </w:trPr>
        <w:tc>
          <w:tcPr>
            <w:tcW w:w="5778" w:type="dxa"/>
            <w:shd w:val="clear" w:color="auto" w:fill="auto"/>
            <w:vAlign w:val="center"/>
          </w:tcPr>
          <w:p w14:paraId="0D1ED1B1" w14:textId="77777777" w:rsidR="00835A34" w:rsidRPr="00E62248" w:rsidRDefault="00835A34" w:rsidP="00835A34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E62248">
              <w:rPr>
                <w:b/>
                <w:bCs/>
                <w:sz w:val="22"/>
                <w:szCs w:val="22"/>
              </w:rPr>
              <w:t xml:space="preserve">Χρεωστικοί Τίτλοι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F3C6E" w14:textId="77777777" w:rsidR="00835A34" w:rsidRPr="001529B2" w:rsidRDefault="00835A34" w:rsidP="00835A34">
            <w:pPr>
              <w:jc w:val="right"/>
              <w:rPr>
                <w:b/>
                <w:bCs/>
                <w:lang w:val="en-US" w:eastAsia="en-US"/>
              </w:rPr>
            </w:pPr>
            <w:r w:rsidRPr="001529B2">
              <w:rPr>
                <w:b/>
                <w:bCs/>
              </w:rPr>
              <w:t>-228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E2C97" w14:textId="77777777" w:rsidR="00835A34" w:rsidRPr="00835A34" w:rsidRDefault="00835A34" w:rsidP="00835A34">
            <w:pPr>
              <w:jc w:val="right"/>
              <w:rPr>
                <w:b/>
                <w:bCs/>
                <w:lang w:val="en-US" w:eastAsia="en-US"/>
              </w:rPr>
            </w:pPr>
            <w:r w:rsidRPr="00835A34">
              <w:rPr>
                <w:b/>
                <w:bCs/>
              </w:rPr>
              <w:t>1</w:t>
            </w:r>
          </w:p>
        </w:tc>
      </w:tr>
      <w:tr w:rsidR="00835A34" w:rsidRPr="00070BDE" w14:paraId="5913258E" w14:textId="77777777" w:rsidTr="004842B7">
        <w:tc>
          <w:tcPr>
            <w:tcW w:w="5778" w:type="dxa"/>
            <w:shd w:val="clear" w:color="auto" w:fill="auto"/>
            <w:vAlign w:val="center"/>
          </w:tcPr>
          <w:p w14:paraId="6B82DFF4" w14:textId="77777777" w:rsidR="00835A34" w:rsidRPr="00E62248" w:rsidRDefault="00835A34" w:rsidP="00835A34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E62248">
              <w:rPr>
                <w:i/>
                <w:iCs/>
                <w:sz w:val="22"/>
                <w:szCs w:val="22"/>
              </w:rPr>
              <w:t xml:space="preserve">          Εσωτερικό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693B2" w14:textId="77777777" w:rsidR="00835A34" w:rsidRPr="001529B2" w:rsidRDefault="00835A34" w:rsidP="00835A34">
            <w:pPr>
              <w:jc w:val="right"/>
            </w:pPr>
            <w:r w:rsidRPr="001529B2">
              <w:t>-184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CD779" w14:textId="77777777" w:rsidR="00835A34" w:rsidRPr="00835A34" w:rsidRDefault="00835A34" w:rsidP="00835A34">
            <w:pPr>
              <w:jc w:val="right"/>
            </w:pPr>
            <w:r w:rsidRPr="00835A34">
              <w:t>27</w:t>
            </w:r>
          </w:p>
        </w:tc>
      </w:tr>
      <w:tr w:rsidR="00835A34" w:rsidRPr="00070BDE" w14:paraId="005BBAF1" w14:textId="77777777" w:rsidTr="004842B7">
        <w:tc>
          <w:tcPr>
            <w:tcW w:w="5778" w:type="dxa"/>
            <w:shd w:val="clear" w:color="auto" w:fill="auto"/>
            <w:vAlign w:val="center"/>
          </w:tcPr>
          <w:p w14:paraId="4E94A84E" w14:textId="77777777" w:rsidR="00835A34" w:rsidRPr="00E62248" w:rsidRDefault="00835A34" w:rsidP="00835A34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E62248">
              <w:rPr>
                <w:i/>
                <w:iCs/>
                <w:sz w:val="22"/>
                <w:szCs w:val="22"/>
              </w:rPr>
              <w:t xml:space="preserve">          Εξωτερικό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98B82" w14:textId="77777777" w:rsidR="00835A34" w:rsidRPr="001529B2" w:rsidRDefault="00835A34" w:rsidP="00835A34">
            <w:pPr>
              <w:jc w:val="right"/>
            </w:pPr>
            <w:r w:rsidRPr="001529B2">
              <w:t>-44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9C587" w14:textId="77777777" w:rsidR="00835A34" w:rsidRPr="00835A34" w:rsidRDefault="00835A34" w:rsidP="00835A34">
            <w:pPr>
              <w:jc w:val="right"/>
            </w:pPr>
            <w:r w:rsidRPr="00835A34">
              <w:t>-26</w:t>
            </w:r>
          </w:p>
        </w:tc>
      </w:tr>
      <w:tr w:rsidR="00835A34" w:rsidRPr="00070BDE" w14:paraId="70D8F810" w14:textId="77777777" w:rsidTr="004842B7">
        <w:tc>
          <w:tcPr>
            <w:tcW w:w="5778" w:type="dxa"/>
            <w:shd w:val="clear" w:color="auto" w:fill="auto"/>
            <w:vAlign w:val="center"/>
          </w:tcPr>
          <w:p w14:paraId="5A1F5C6E" w14:textId="77777777" w:rsidR="00835A34" w:rsidRPr="00E62248" w:rsidRDefault="00835A34" w:rsidP="00835A34">
            <w:pPr>
              <w:jc w:val="both"/>
              <w:rPr>
                <w:sz w:val="22"/>
                <w:szCs w:val="22"/>
              </w:rPr>
            </w:pPr>
            <w:r w:rsidRPr="00E62248">
              <w:rPr>
                <w:b/>
                <w:bCs/>
                <w:sz w:val="22"/>
                <w:szCs w:val="22"/>
              </w:rPr>
              <w:t xml:space="preserve">Μερίδια αμοιβαίων κεφαλαίων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9E09A" w14:textId="77777777" w:rsidR="00835A34" w:rsidRPr="001529B2" w:rsidRDefault="00835A34" w:rsidP="00835A34">
            <w:pPr>
              <w:jc w:val="right"/>
              <w:rPr>
                <w:b/>
                <w:bCs/>
              </w:rPr>
            </w:pPr>
            <w:r w:rsidRPr="001529B2">
              <w:rPr>
                <w:b/>
                <w:bCs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A2060" w14:textId="77777777" w:rsidR="00835A34" w:rsidRPr="00835A34" w:rsidRDefault="00835A34" w:rsidP="00835A34">
            <w:pPr>
              <w:jc w:val="right"/>
              <w:rPr>
                <w:b/>
                <w:bCs/>
              </w:rPr>
            </w:pPr>
            <w:r w:rsidRPr="00835A34">
              <w:rPr>
                <w:b/>
                <w:bCs/>
              </w:rPr>
              <w:t>161</w:t>
            </w:r>
          </w:p>
        </w:tc>
      </w:tr>
      <w:tr w:rsidR="00835A34" w:rsidRPr="00070BDE" w14:paraId="7763C39A" w14:textId="77777777" w:rsidTr="004842B7">
        <w:tc>
          <w:tcPr>
            <w:tcW w:w="5778" w:type="dxa"/>
            <w:shd w:val="clear" w:color="auto" w:fill="auto"/>
            <w:vAlign w:val="center"/>
          </w:tcPr>
          <w:p w14:paraId="4EB16956" w14:textId="77777777" w:rsidR="00835A34" w:rsidRPr="00E62248" w:rsidRDefault="00835A34" w:rsidP="00835A34">
            <w:pPr>
              <w:jc w:val="both"/>
              <w:rPr>
                <w:sz w:val="22"/>
                <w:szCs w:val="22"/>
              </w:rPr>
            </w:pPr>
            <w:r w:rsidRPr="00E62248">
              <w:rPr>
                <w:i/>
                <w:iCs/>
                <w:sz w:val="22"/>
                <w:szCs w:val="22"/>
              </w:rPr>
              <w:t xml:space="preserve">          Εσωτερικό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2D4E6" w14:textId="77777777" w:rsidR="00835A34" w:rsidRPr="001529B2" w:rsidRDefault="00835A34" w:rsidP="00835A34">
            <w:pPr>
              <w:jc w:val="right"/>
            </w:pPr>
            <w:r w:rsidRPr="001529B2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E2810" w14:textId="77777777" w:rsidR="00835A34" w:rsidRPr="00835A34" w:rsidRDefault="00835A34" w:rsidP="00835A34">
            <w:pPr>
              <w:jc w:val="right"/>
            </w:pPr>
            <w:r w:rsidRPr="00835A34">
              <w:t>38</w:t>
            </w:r>
          </w:p>
        </w:tc>
      </w:tr>
      <w:tr w:rsidR="00835A34" w:rsidRPr="00070BDE" w14:paraId="4891111D" w14:textId="77777777" w:rsidTr="004842B7">
        <w:tc>
          <w:tcPr>
            <w:tcW w:w="5778" w:type="dxa"/>
            <w:shd w:val="clear" w:color="auto" w:fill="auto"/>
            <w:vAlign w:val="center"/>
          </w:tcPr>
          <w:p w14:paraId="4953EA53" w14:textId="77777777" w:rsidR="00835A34" w:rsidRPr="00E62248" w:rsidRDefault="00835A34" w:rsidP="00835A34">
            <w:pPr>
              <w:jc w:val="both"/>
              <w:rPr>
                <w:sz w:val="22"/>
                <w:szCs w:val="22"/>
              </w:rPr>
            </w:pPr>
            <w:r w:rsidRPr="00E62248">
              <w:rPr>
                <w:i/>
                <w:iCs/>
                <w:sz w:val="22"/>
                <w:szCs w:val="22"/>
              </w:rPr>
              <w:t xml:space="preserve">          Εξωτερικό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143E6" w14:textId="77777777" w:rsidR="00835A34" w:rsidRPr="001529B2" w:rsidRDefault="00835A34" w:rsidP="00835A34">
            <w:pPr>
              <w:jc w:val="right"/>
            </w:pPr>
            <w:r w:rsidRPr="001529B2"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6AEE9" w14:textId="77777777" w:rsidR="00835A34" w:rsidRPr="00835A34" w:rsidRDefault="00835A34" w:rsidP="00835A34">
            <w:pPr>
              <w:jc w:val="right"/>
            </w:pPr>
            <w:r w:rsidRPr="00835A34">
              <w:t>123</w:t>
            </w:r>
          </w:p>
        </w:tc>
      </w:tr>
      <w:tr w:rsidR="00835A34" w:rsidRPr="00070BDE" w14:paraId="32B6D1C2" w14:textId="77777777" w:rsidTr="004842B7">
        <w:tc>
          <w:tcPr>
            <w:tcW w:w="5778" w:type="dxa"/>
            <w:shd w:val="clear" w:color="auto" w:fill="auto"/>
            <w:vAlign w:val="center"/>
          </w:tcPr>
          <w:p w14:paraId="004A51AB" w14:textId="77777777" w:rsidR="00835A34" w:rsidRPr="00E62248" w:rsidRDefault="00835A34" w:rsidP="00835A34">
            <w:pPr>
              <w:jc w:val="both"/>
              <w:rPr>
                <w:sz w:val="22"/>
                <w:szCs w:val="22"/>
                <w:lang w:val="el-GR"/>
              </w:rPr>
            </w:pPr>
            <w:r w:rsidRPr="00E62248">
              <w:rPr>
                <w:b/>
                <w:bCs/>
                <w:sz w:val="22"/>
                <w:szCs w:val="22"/>
                <w:lang w:val="el-GR"/>
              </w:rPr>
              <w:t>Μετοχές και λοιπά μέσα κυριότητας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BAF37" w14:textId="77777777" w:rsidR="00835A34" w:rsidRPr="001529B2" w:rsidRDefault="00835A34" w:rsidP="00835A34">
            <w:pPr>
              <w:jc w:val="right"/>
              <w:rPr>
                <w:b/>
                <w:bCs/>
              </w:rPr>
            </w:pPr>
            <w:r w:rsidRPr="001529B2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D9D43" w14:textId="77777777" w:rsidR="00835A34" w:rsidRPr="00835A34" w:rsidRDefault="00835A34" w:rsidP="00835A34">
            <w:pPr>
              <w:jc w:val="right"/>
              <w:rPr>
                <w:b/>
                <w:bCs/>
              </w:rPr>
            </w:pPr>
            <w:r w:rsidRPr="00835A34">
              <w:rPr>
                <w:b/>
                <w:bCs/>
              </w:rPr>
              <w:t>-8</w:t>
            </w:r>
          </w:p>
        </w:tc>
      </w:tr>
      <w:tr w:rsidR="00835A34" w:rsidRPr="00070BDE" w14:paraId="33E58A33" w14:textId="77777777" w:rsidTr="004842B7">
        <w:tc>
          <w:tcPr>
            <w:tcW w:w="5778" w:type="dxa"/>
            <w:shd w:val="clear" w:color="auto" w:fill="auto"/>
            <w:vAlign w:val="center"/>
          </w:tcPr>
          <w:p w14:paraId="2A99BEB8" w14:textId="77777777" w:rsidR="00835A34" w:rsidRPr="00E62248" w:rsidRDefault="00835A34" w:rsidP="00835A34">
            <w:pPr>
              <w:jc w:val="both"/>
              <w:rPr>
                <w:sz w:val="22"/>
                <w:szCs w:val="22"/>
              </w:rPr>
            </w:pPr>
            <w:r w:rsidRPr="00E62248">
              <w:rPr>
                <w:i/>
                <w:iCs/>
                <w:sz w:val="22"/>
                <w:szCs w:val="22"/>
              </w:rPr>
              <w:t xml:space="preserve">          Εσωτερικό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65802" w14:textId="77777777" w:rsidR="00835A34" w:rsidRPr="001761E8" w:rsidRDefault="00835A34" w:rsidP="00835A34">
            <w:pPr>
              <w:jc w:val="right"/>
              <w:rPr>
                <w:bCs/>
              </w:rPr>
            </w:pPr>
            <w:r w:rsidRPr="001761E8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B234A" w14:textId="77777777" w:rsidR="00835A34" w:rsidRPr="000321CE" w:rsidRDefault="00835A34" w:rsidP="00835A34">
            <w:pPr>
              <w:jc w:val="right"/>
              <w:rPr>
                <w:bCs/>
              </w:rPr>
            </w:pPr>
            <w:r w:rsidRPr="000321CE">
              <w:rPr>
                <w:bCs/>
              </w:rPr>
              <w:t>2</w:t>
            </w:r>
          </w:p>
        </w:tc>
      </w:tr>
      <w:tr w:rsidR="00835A34" w:rsidRPr="00070BDE" w14:paraId="5D623459" w14:textId="77777777" w:rsidTr="004842B7">
        <w:tc>
          <w:tcPr>
            <w:tcW w:w="5778" w:type="dxa"/>
            <w:shd w:val="clear" w:color="auto" w:fill="auto"/>
            <w:vAlign w:val="center"/>
          </w:tcPr>
          <w:p w14:paraId="07F3A8D6" w14:textId="77777777" w:rsidR="00835A34" w:rsidRPr="00E62248" w:rsidRDefault="00835A34" w:rsidP="00835A34">
            <w:pPr>
              <w:jc w:val="both"/>
              <w:rPr>
                <w:sz w:val="22"/>
                <w:szCs w:val="22"/>
              </w:rPr>
            </w:pPr>
            <w:r w:rsidRPr="00E62248">
              <w:rPr>
                <w:i/>
                <w:iCs/>
                <w:sz w:val="22"/>
                <w:szCs w:val="22"/>
              </w:rPr>
              <w:t xml:space="preserve">          Εξωτερικό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0D935" w14:textId="77777777" w:rsidR="00835A34" w:rsidRPr="001529B2" w:rsidRDefault="00835A34" w:rsidP="00835A34">
            <w:pPr>
              <w:jc w:val="right"/>
            </w:pPr>
            <w:r w:rsidRPr="001529B2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99A53" w14:textId="77777777" w:rsidR="00835A34" w:rsidRPr="00835A34" w:rsidRDefault="00835A34" w:rsidP="00835A34">
            <w:pPr>
              <w:jc w:val="right"/>
            </w:pPr>
            <w:r w:rsidRPr="00835A34">
              <w:t>-10</w:t>
            </w:r>
          </w:p>
        </w:tc>
      </w:tr>
    </w:tbl>
    <w:p w14:paraId="1B7F1E24" w14:textId="77777777" w:rsidR="00CE614F" w:rsidRPr="006950E4" w:rsidRDefault="00CE614F" w:rsidP="00036433">
      <w:pPr>
        <w:rPr>
          <w:b/>
          <w:sz w:val="22"/>
          <w:szCs w:val="22"/>
        </w:rPr>
      </w:pPr>
    </w:p>
    <w:p w14:paraId="76B3FC74" w14:textId="77777777" w:rsidR="00A028BF" w:rsidRDefault="00A028BF" w:rsidP="00036433">
      <w:pPr>
        <w:rPr>
          <w:b/>
          <w:sz w:val="22"/>
          <w:szCs w:val="22"/>
        </w:rPr>
      </w:pPr>
    </w:p>
    <w:p w14:paraId="71E8E2E0" w14:textId="77777777" w:rsidR="00EE0810" w:rsidRDefault="00EE0810" w:rsidP="00036433">
      <w:pPr>
        <w:rPr>
          <w:b/>
          <w:sz w:val="22"/>
          <w:szCs w:val="22"/>
        </w:rPr>
      </w:pPr>
    </w:p>
    <w:p w14:paraId="0E54AB95" w14:textId="77777777" w:rsidR="00036433" w:rsidRPr="006950E4" w:rsidRDefault="00036433" w:rsidP="00036433">
      <w:pPr>
        <w:rPr>
          <w:b/>
          <w:sz w:val="22"/>
          <w:szCs w:val="22"/>
        </w:rPr>
      </w:pPr>
      <w:r w:rsidRPr="006950E4">
        <w:rPr>
          <w:b/>
          <w:sz w:val="22"/>
          <w:szCs w:val="22"/>
        </w:rPr>
        <w:t>Διάγραμμα 1</w:t>
      </w:r>
    </w:p>
    <w:p w14:paraId="61471E83" w14:textId="77777777" w:rsidR="00F206B2" w:rsidRDefault="00F206B2" w:rsidP="00036433">
      <w:pPr>
        <w:rPr>
          <w:b/>
          <w:sz w:val="22"/>
          <w:szCs w:val="22"/>
        </w:rPr>
      </w:pPr>
    </w:p>
    <w:p w14:paraId="006A67F4" w14:textId="154F7F5E" w:rsidR="00F206B2" w:rsidRPr="00BD311E" w:rsidRDefault="007013E4" w:rsidP="00036433">
      <w:pPr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  <w:lang w:val="en-US"/>
        </w:rPr>
        <w:drawing>
          <wp:inline distT="0" distB="0" distL="0" distR="0" wp14:anchorId="33319D68" wp14:editId="382C4493">
            <wp:extent cx="4751705" cy="3025775"/>
            <wp:effectExtent l="0" t="0" r="0" b="0"/>
            <wp:docPr id="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02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29F63" w14:textId="77777777" w:rsidR="00F206B2" w:rsidRDefault="00F206B2" w:rsidP="00036433">
      <w:pPr>
        <w:rPr>
          <w:b/>
          <w:sz w:val="22"/>
          <w:szCs w:val="22"/>
        </w:rPr>
      </w:pPr>
    </w:p>
    <w:p w14:paraId="04493EBC" w14:textId="77777777" w:rsidR="00F206B2" w:rsidRDefault="00F206B2" w:rsidP="00036433">
      <w:pPr>
        <w:rPr>
          <w:b/>
          <w:sz w:val="22"/>
          <w:szCs w:val="22"/>
        </w:rPr>
      </w:pPr>
    </w:p>
    <w:p w14:paraId="08F85FE5" w14:textId="77777777" w:rsidR="00F206B2" w:rsidRDefault="00F206B2" w:rsidP="00036433">
      <w:pPr>
        <w:rPr>
          <w:b/>
          <w:sz w:val="22"/>
          <w:szCs w:val="22"/>
        </w:rPr>
      </w:pPr>
    </w:p>
    <w:p w14:paraId="3B8388C1" w14:textId="77777777" w:rsidR="00F206B2" w:rsidRDefault="00F206B2" w:rsidP="00036433">
      <w:pPr>
        <w:rPr>
          <w:b/>
          <w:sz w:val="22"/>
          <w:szCs w:val="22"/>
        </w:rPr>
      </w:pPr>
    </w:p>
    <w:p w14:paraId="40222AEB" w14:textId="77777777" w:rsidR="00F206B2" w:rsidRDefault="00F206B2" w:rsidP="00036433">
      <w:pPr>
        <w:rPr>
          <w:b/>
          <w:sz w:val="22"/>
          <w:szCs w:val="22"/>
        </w:rPr>
      </w:pPr>
    </w:p>
    <w:p w14:paraId="79D55096" w14:textId="77777777" w:rsidR="00F206B2" w:rsidRDefault="00F206B2" w:rsidP="00036433">
      <w:pPr>
        <w:rPr>
          <w:b/>
          <w:sz w:val="22"/>
          <w:szCs w:val="22"/>
        </w:rPr>
      </w:pPr>
    </w:p>
    <w:p w14:paraId="078174D2" w14:textId="77777777" w:rsidR="00F206B2" w:rsidRDefault="00F206B2" w:rsidP="00036433">
      <w:pPr>
        <w:rPr>
          <w:b/>
          <w:sz w:val="22"/>
          <w:szCs w:val="22"/>
        </w:rPr>
      </w:pPr>
    </w:p>
    <w:p w14:paraId="0C6B462D" w14:textId="77777777" w:rsidR="00F206B2" w:rsidRDefault="00F206B2" w:rsidP="00036433">
      <w:pPr>
        <w:rPr>
          <w:b/>
          <w:sz w:val="22"/>
          <w:szCs w:val="22"/>
        </w:rPr>
      </w:pPr>
    </w:p>
    <w:p w14:paraId="0A6FF46F" w14:textId="77777777" w:rsidR="003D27A5" w:rsidRDefault="003D27A5" w:rsidP="00F206B2">
      <w:pPr>
        <w:rPr>
          <w:b/>
          <w:sz w:val="22"/>
          <w:szCs w:val="22"/>
        </w:rPr>
      </w:pPr>
    </w:p>
    <w:p w14:paraId="0400EFC3" w14:textId="77777777" w:rsidR="00F206B2" w:rsidRDefault="00F206B2" w:rsidP="00F206B2">
      <w:pPr>
        <w:rPr>
          <w:b/>
          <w:sz w:val="22"/>
          <w:szCs w:val="22"/>
          <w:lang w:val="el-GR"/>
        </w:rPr>
      </w:pPr>
      <w:r w:rsidRPr="00FB00A7">
        <w:rPr>
          <w:b/>
          <w:sz w:val="22"/>
          <w:szCs w:val="22"/>
          <w:lang w:val="el-GR"/>
        </w:rPr>
        <w:t>Διάγραμμα 2</w:t>
      </w:r>
    </w:p>
    <w:p w14:paraId="32FAD07A" w14:textId="77777777" w:rsidR="00CC2249" w:rsidRPr="00FB00A7" w:rsidRDefault="00CC2249" w:rsidP="00F206B2">
      <w:pPr>
        <w:rPr>
          <w:b/>
          <w:sz w:val="22"/>
          <w:szCs w:val="22"/>
          <w:lang w:val="el-GR"/>
        </w:rPr>
      </w:pPr>
    </w:p>
    <w:p w14:paraId="5B1C9A7B" w14:textId="4D0BBE68" w:rsidR="003D27A5" w:rsidRDefault="007013E4" w:rsidP="0031508B">
      <w:pPr>
        <w:rPr>
          <w:b/>
          <w:sz w:val="22"/>
          <w:szCs w:val="22"/>
          <w:lang w:val="el-GR"/>
        </w:rPr>
      </w:pPr>
      <w:r>
        <w:rPr>
          <w:b/>
          <w:noProof/>
          <w:sz w:val="22"/>
          <w:szCs w:val="22"/>
          <w:lang w:val="el-GR"/>
        </w:rPr>
        <w:lastRenderedPageBreak/>
        <w:drawing>
          <wp:inline distT="0" distB="0" distL="0" distR="0" wp14:anchorId="11706884" wp14:editId="0F7D17EE">
            <wp:extent cx="6280785" cy="4071620"/>
            <wp:effectExtent l="0" t="0" r="0" b="0"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85" cy="407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5F496E" w14:textId="77777777" w:rsidR="003D27A5" w:rsidRDefault="003D27A5" w:rsidP="0031508B">
      <w:pPr>
        <w:rPr>
          <w:b/>
          <w:sz w:val="22"/>
          <w:szCs w:val="22"/>
          <w:lang w:val="el-GR"/>
        </w:rPr>
      </w:pPr>
    </w:p>
    <w:p w14:paraId="2990FE9E" w14:textId="77777777" w:rsidR="00897061" w:rsidRPr="001761E8" w:rsidRDefault="00104D7C" w:rsidP="0031508B">
      <w:pPr>
        <w:rPr>
          <w:b/>
          <w:sz w:val="22"/>
          <w:szCs w:val="22"/>
          <w:lang w:val="el-GR"/>
        </w:rPr>
      </w:pPr>
      <w:r w:rsidRPr="00594A3A">
        <w:rPr>
          <w:b/>
          <w:color w:val="auto"/>
          <w:sz w:val="22"/>
          <w:szCs w:val="22"/>
          <w:u w:val="single"/>
          <w:lang w:val="el-GR"/>
        </w:rPr>
        <w:t>Σημειώσεις</w:t>
      </w:r>
      <w:r w:rsidR="00DE0944" w:rsidRPr="00897061">
        <w:rPr>
          <w:color w:val="002060"/>
          <w:sz w:val="22"/>
          <w:szCs w:val="22"/>
          <w:lang w:val="el-GR"/>
        </w:rPr>
        <w:t>:</w:t>
      </w:r>
    </w:p>
    <w:p w14:paraId="3A84BE67" w14:textId="77777777" w:rsidR="00C04F67" w:rsidRDefault="00C04F67" w:rsidP="003B10B9">
      <w:pPr>
        <w:keepNext/>
        <w:widowControl w:val="0"/>
        <w:spacing w:line="360" w:lineRule="auto"/>
        <w:jc w:val="both"/>
        <w:rPr>
          <w:sz w:val="22"/>
          <w:szCs w:val="22"/>
          <w:lang w:val="el-GR"/>
        </w:rPr>
      </w:pPr>
    </w:p>
    <w:p w14:paraId="11894871" w14:textId="77777777" w:rsidR="00104D7C" w:rsidRDefault="00941C62" w:rsidP="003B10B9">
      <w:pPr>
        <w:keepNext/>
        <w:widowControl w:val="0"/>
        <w:spacing w:line="360" w:lineRule="auto"/>
        <w:jc w:val="both"/>
        <w:rPr>
          <w:iCs/>
          <w:sz w:val="22"/>
          <w:szCs w:val="22"/>
          <w:lang w:val="el-GR"/>
        </w:rPr>
      </w:pPr>
      <w:r w:rsidRPr="00941C62">
        <w:rPr>
          <w:sz w:val="22"/>
          <w:szCs w:val="22"/>
          <w:lang w:val="el-GR"/>
        </w:rPr>
        <w:t>1.</w:t>
      </w:r>
      <w:r>
        <w:rPr>
          <w:sz w:val="22"/>
          <w:szCs w:val="22"/>
          <w:lang w:val="el-GR"/>
        </w:rPr>
        <w:t xml:space="preserve"> </w:t>
      </w:r>
      <w:r w:rsidR="00036433" w:rsidRPr="00036433">
        <w:rPr>
          <w:sz w:val="22"/>
          <w:szCs w:val="22"/>
          <w:lang w:val="el-GR"/>
        </w:rPr>
        <w:t>Στοιχεία προς την Τράπεζα της Ελλάδος υποβάλλουν οι εποπτευόμενες ασφαλιστικές επιχειρήσεις, όπως αυτές ορίζονται</w:t>
      </w:r>
      <w:r w:rsidR="00036433" w:rsidRPr="00036433">
        <w:rPr>
          <w:iCs/>
          <w:sz w:val="22"/>
          <w:szCs w:val="22"/>
          <w:lang w:val="el-GR"/>
        </w:rPr>
        <w:t xml:space="preserve"> στο άρθρο 1 της </w:t>
      </w:r>
      <w:hyperlink r:id="rId11" w:history="1">
        <w:r>
          <w:rPr>
            <w:rStyle w:val="Hyperlink"/>
            <w:iCs/>
            <w:sz w:val="22"/>
            <w:szCs w:val="22"/>
            <w:lang w:val="el-GR"/>
          </w:rPr>
          <w:t>Πράξης Εκτελεστικής Επιτροπής 94/16.5.2016</w:t>
        </w:r>
      </w:hyperlink>
      <w:r w:rsidR="00891086" w:rsidRPr="00891086">
        <w:rPr>
          <w:rStyle w:val="Hyperlink"/>
          <w:iCs/>
          <w:sz w:val="22"/>
          <w:szCs w:val="22"/>
          <w:u w:val="none"/>
          <w:lang w:val="el-GR"/>
        </w:rPr>
        <w:t xml:space="preserve"> </w:t>
      </w:r>
      <w:r w:rsidR="00036433" w:rsidRPr="00036433">
        <w:rPr>
          <w:iCs/>
          <w:sz w:val="22"/>
          <w:szCs w:val="22"/>
          <w:lang w:val="el-GR"/>
        </w:rPr>
        <w:t>με θέμα «Ενιαία υποβολή εθνικών αναφορών ασφαλιστικών και αντασφαλιστικών επιχειρήσεων προς την Τράπεζα της Ελλάδος, στο πλαίσιο της Φερεγγυότητας ΙΙ για εποπτικούς και στατιστικούς σκοπούς».</w:t>
      </w:r>
    </w:p>
    <w:p w14:paraId="5AACD46A" w14:textId="77777777" w:rsidR="00274E8C" w:rsidRPr="00F64067" w:rsidRDefault="00941C62" w:rsidP="00F64067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2. </w:t>
      </w:r>
      <w:r w:rsidR="00386254" w:rsidRPr="006E2C34">
        <w:rPr>
          <w:sz w:val="22"/>
          <w:szCs w:val="22"/>
          <w:lang w:val="el-GR"/>
        </w:rPr>
        <w:t>Οι καθαρές ροές προκύπτουν από τη μεταβολή των υπολοίπων</w:t>
      </w:r>
      <w:r w:rsidR="00951FE9">
        <w:rPr>
          <w:sz w:val="22"/>
          <w:szCs w:val="22"/>
          <w:lang w:val="el-GR"/>
        </w:rPr>
        <w:t>,</w:t>
      </w:r>
      <w:r w:rsidR="00386254" w:rsidRPr="006E2C34">
        <w:rPr>
          <w:sz w:val="22"/>
          <w:szCs w:val="22"/>
          <w:lang w:val="el-GR"/>
        </w:rPr>
        <w:t xml:space="preserve"> διορθωμένη για το μέρος της μεταβολής που οφείλεται σε διαφορές αποτίμησης και προσαρμογές από αναταξινομήσεις</w:t>
      </w:r>
      <w:r w:rsidR="00B04A18">
        <w:rPr>
          <w:sz w:val="22"/>
          <w:szCs w:val="22"/>
          <w:lang w:val="el-GR"/>
        </w:rPr>
        <w:t>.</w:t>
      </w:r>
    </w:p>
    <w:p w14:paraId="335DDDA5" w14:textId="77777777" w:rsidR="00812863" w:rsidRPr="00724E80" w:rsidRDefault="00F5007A" w:rsidP="00724E80">
      <w:pPr>
        <w:spacing w:before="240" w:line="360" w:lineRule="auto"/>
        <w:jc w:val="both"/>
        <w:rPr>
          <w:color w:val="002060"/>
          <w:sz w:val="22"/>
          <w:szCs w:val="22"/>
          <w:lang w:val="el-GR"/>
        </w:rPr>
      </w:pPr>
      <w:r w:rsidRPr="00594A3A">
        <w:rPr>
          <w:b/>
          <w:color w:val="auto"/>
          <w:sz w:val="22"/>
          <w:szCs w:val="22"/>
          <w:u w:val="single"/>
          <w:lang w:val="el-GR"/>
        </w:rPr>
        <w:t>Περισσότερες πληροφορίες</w:t>
      </w:r>
      <w:r w:rsidR="00DE0944" w:rsidRPr="00DE0944">
        <w:rPr>
          <w:color w:val="002060"/>
          <w:sz w:val="22"/>
          <w:szCs w:val="22"/>
          <w:lang w:val="el-GR"/>
        </w:rPr>
        <w:t>:</w:t>
      </w:r>
    </w:p>
    <w:p w14:paraId="330CD570" w14:textId="77777777" w:rsidR="00F5007A" w:rsidRDefault="00036433" w:rsidP="000D7C7F">
      <w:pPr>
        <w:spacing w:line="360" w:lineRule="auto"/>
        <w:jc w:val="both"/>
        <w:rPr>
          <w:sz w:val="22"/>
          <w:szCs w:val="22"/>
          <w:lang w:val="el-GR"/>
        </w:rPr>
      </w:pPr>
      <w:r w:rsidRPr="006950E4">
        <w:rPr>
          <w:sz w:val="22"/>
          <w:szCs w:val="22"/>
          <w:lang w:val="el-GR"/>
        </w:rPr>
        <w:t xml:space="preserve">Το επόμενο Δελτίο Τύπου για τα «Στατιστικά Στοιχεία Ασφαλιστικών Επιχειρήσεων» με στοιχεία του </w:t>
      </w:r>
      <w:r w:rsidR="00BD311E">
        <w:rPr>
          <w:sz w:val="22"/>
          <w:szCs w:val="22"/>
          <w:lang w:val="el-GR"/>
        </w:rPr>
        <w:t>γ</w:t>
      </w:r>
      <w:r w:rsidR="00E526BA" w:rsidRPr="00682D30">
        <w:rPr>
          <w:sz w:val="22"/>
          <w:szCs w:val="22"/>
          <w:lang w:val="el-GR"/>
        </w:rPr>
        <w:t>΄</w:t>
      </w:r>
      <w:r w:rsidRPr="006950E4">
        <w:rPr>
          <w:sz w:val="22"/>
          <w:szCs w:val="22"/>
          <w:lang w:val="el-GR"/>
        </w:rPr>
        <w:t xml:space="preserve"> τριμήνου του 202</w:t>
      </w:r>
      <w:r w:rsidR="00933616">
        <w:rPr>
          <w:sz w:val="22"/>
          <w:szCs w:val="22"/>
          <w:lang w:val="el-GR"/>
        </w:rPr>
        <w:t>5</w:t>
      </w:r>
      <w:r w:rsidRPr="006950E4">
        <w:rPr>
          <w:sz w:val="22"/>
          <w:szCs w:val="22"/>
          <w:lang w:val="el-GR"/>
        </w:rPr>
        <w:t xml:space="preserve"> θα δημοσιευ</w:t>
      </w:r>
      <w:r w:rsidR="0098540D">
        <w:rPr>
          <w:sz w:val="22"/>
          <w:szCs w:val="22"/>
          <w:lang w:val="el-GR"/>
        </w:rPr>
        <w:t>θ</w:t>
      </w:r>
      <w:r w:rsidRPr="006950E4">
        <w:rPr>
          <w:sz w:val="22"/>
          <w:szCs w:val="22"/>
          <w:lang w:val="el-GR"/>
        </w:rPr>
        <w:t xml:space="preserve">εί </w:t>
      </w:r>
      <w:r>
        <w:rPr>
          <w:sz w:val="22"/>
          <w:szCs w:val="22"/>
          <w:lang w:val="el-GR"/>
        </w:rPr>
        <w:t>στις</w:t>
      </w:r>
      <w:r w:rsidRPr="006950E4">
        <w:rPr>
          <w:sz w:val="22"/>
          <w:szCs w:val="22"/>
          <w:lang w:val="el-GR"/>
        </w:rPr>
        <w:t xml:space="preserve"> </w:t>
      </w:r>
      <w:r w:rsidR="00BD311E">
        <w:rPr>
          <w:sz w:val="22"/>
          <w:szCs w:val="22"/>
          <w:lang w:val="el-GR"/>
        </w:rPr>
        <w:t>26</w:t>
      </w:r>
      <w:r w:rsidR="001B79B1">
        <w:rPr>
          <w:sz w:val="22"/>
          <w:szCs w:val="22"/>
          <w:lang w:val="el-GR"/>
        </w:rPr>
        <w:t xml:space="preserve"> </w:t>
      </w:r>
      <w:r w:rsidR="00BD311E">
        <w:rPr>
          <w:sz w:val="22"/>
          <w:szCs w:val="22"/>
          <w:lang w:val="el-GR"/>
        </w:rPr>
        <w:t xml:space="preserve">Νοεμβρίου </w:t>
      </w:r>
      <w:r w:rsidR="00943696" w:rsidRPr="006950E4">
        <w:rPr>
          <w:sz w:val="22"/>
          <w:szCs w:val="22"/>
          <w:lang w:val="el-GR"/>
        </w:rPr>
        <w:t>202</w:t>
      </w:r>
      <w:r w:rsidR="006B1229">
        <w:rPr>
          <w:sz w:val="22"/>
          <w:szCs w:val="22"/>
          <w:lang w:val="el-GR"/>
        </w:rPr>
        <w:t>5</w:t>
      </w:r>
      <w:r w:rsidRPr="006950E4">
        <w:rPr>
          <w:sz w:val="22"/>
          <w:szCs w:val="22"/>
          <w:lang w:val="el-GR"/>
        </w:rPr>
        <w:t xml:space="preserve">, σύμφωνα με το </w:t>
      </w:r>
      <w:hyperlink r:id="rId12" w:history="1">
        <w:r w:rsidRPr="00933616">
          <w:rPr>
            <w:rStyle w:val="Hyperlink"/>
            <w:sz w:val="22"/>
            <w:szCs w:val="22"/>
            <w:lang w:val="el-GR"/>
          </w:rPr>
          <w:t>Ημερολόγι</w:t>
        </w:r>
        <w:r w:rsidRPr="00933616">
          <w:rPr>
            <w:rStyle w:val="Hyperlink"/>
            <w:sz w:val="22"/>
            <w:szCs w:val="22"/>
            <w:lang w:val="el-GR"/>
          </w:rPr>
          <w:t>ο</w:t>
        </w:r>
        <w:r w:rsidRPr="00933616">
          <w:rPr>
            <w:rStyle w:val="Hyperlink"/>
            <w:sz w:val="22"/>
            <w:szCs w:val="22"/>
            <w:lang w:val="el-GR"/>
          </w:rPr>
          <w:t xml:space="preserve"> δ</w:t>
        </w:r>
        <w:r w:rsidRPr="00933616">
          <w:rPr>
            <w:rStyle w:val="Hyperlink"/>
            <w:sz w:val="22"/>
            <w:szCs w:val="22"/>
            <w:lang w:val="el-GR"/>
          </w:rPr>
          <w:t>η</w:t>
        </w:r>
        <w:r w:rsidRPr="00933616">
          <w:rPr>
            <w:rStyle w:val="Hyperlink"/>
            <w:sz w:val="22"/>
            <w:szCs w:val="22"/>
            <w:lang w:val="el-GR"/>
          </w:rPr>
          <w:t>μ</w:t>
        </w:r>
        <w:r w:rsidRPr="00933616">
          <w:rPr>
            <w:rStyle w:val="Hyperlink"/>
            <w:sz w:val="22"/>
            <w:szCs w:val="22"/>
            <w:lang w:val="el-GR"/>
          </w:rPr>
          <w:t>ο</w:t>
        </w:r>
        <w:r w:rsidRPr="00933616">
          <w:rPr>
            <w:rStyle w:val="Hyperlink"/>
            <w:sz w:val="22"/>
            <w:szCs w:val="22"/>
            <w:lang w:val="el-GR"/>
          </w:rPr>
          <w:t>σ</w:t>
        </w:r>
        <w:r w:rsidRPr="00933616">
          <w:rPr>
            <w:rStyle w:val="Hyperlink"/>
            <w:sz w:val="22"/>
            <w:szCs w:val="22"/>
            <w:lang w:val="el-GR"/>
          </w:rPr>
          <w:t>ί</w:t>
        </w:r>
        <w:r w:rsidRPr="00933616">
          <w:rPr>
            <w:rStyle w:val="Hyperlink"/>
            <w:sz w:val="22"/>
            <w:szCs w:val="22"/>
            <w:lang w:val="el-GR"/>
          </w:rPr>
          <w:t>ευ</w:t>
        </w:r>
        <w:r w:rsidRPr="00933616">
          <w:rPr>
            <w:rStyle w:val="Hyperlink"/>
            <w:sz w:val="22"/>
            <w:szCs w:val="22"/>
            <w:lang w:val="el-GR"/>
          </w:rPr>
          <w:t>σ</w:t>
        </w:r>
        <w:r w:rsidRPr="00933616">
          <w:rPr>
            <w:rStyle w:val="Hyperlink"/>
            <w:sz w:val="22"/>
            <w:szCs w:val="22"/>
            <w:lang w:val="el-GR"/>
          </w:rPr>
          <w:t>ης</w:t>
        </w:r>
      </w:hyperlink>
      <w:r w:rsidRPr="006950E4">
        <w:rPr>
          <w:sz w:val="22"/>
          <w:szCs w:val="22"/>
          <w:lang w:val="el-GR"/>
        </w:rPr>
        <w:t>, όπως αναρτάται στον ιστοχώρο της Τράπεζας της Ελλάδος.</w:t>
      </w:r>
      <w:r w:rsidR="009F563F" w:rsidRPr="00635D0E" w:rsidDel="009F563F">
        <w:rPr>
          <w:sz w:val="22"/>
          <w:szCs w:val="22"/>
          <w:lang w:val="el-GR"/>
        </w:rPr>
        <w:t xml:space="preserve"> </w:t>
      </w:r>
    </w:p>
    <w:p w14:paraId="0E650301" w14:textId="77777777" w:rsidR="00943696" w:rsidRDefault="00943696" w:rsidP="000D7C7F">
      <w:pPr>
        <w:spacing w:line="360" w:lineRule="auto"/>
        <w:jc w:val="both"/>
        <w:rPr>
          <w:sz w:val="22"/>
          <w:szCs w:val="22"/>
          <w:lang w:val="el-GR"/>
        </w:rPr>
      </w:pPr>
    </w:p>
    <w:p w14:paraId="5431049F" w14:textId="77777777" w:rsidR="00812863" w:rsidRDefault="00943696" w:rsidP="00B26B68">
      <w:pPr>
        <w:spacing w:line="360" w:lineRule="auto"/>
        <w:rPr>
          <w:sz w:val="22"/>
          <w:szCs w:val="22"/>
          <w:lang w:val="el-GR"/>
        </w:rPr>
      </w:pPr>
      <w:r w:rsidRPr="001914E2">
        <w:rPr>
          <w:b/>
          <w:sz w:val="22"/>
          <w:szCs w:val="22"/>
          <w:u w:val="single"/>
          <w:lang w:val="el-GR"/>
        </w:rPr>
        <w:t>Σχετικ</w:t>
      </w:r>
      <w:r w:rsidR="00246709">
        <w:rPr>
          <w:b/>
          <w:sz w:val="22"/>
          <w:szCs w:val="22"/>
          <w:u w:val="single"/>
          <w:lang w:val="el-GR"/>
        </w:rPr>
        <w:t>ός</w:t>
      </w:r>
      <w:r w:rsidRPr="001914E2">
        <w:rPr>
          <w:b/>
          <w:sz w:val="22"/>
          <w:szCs w:val="22"/>
          <w:u w:val="single"/>
          <w:lang w:val="el-GR"/>
        </w:rPr>
        <w:t xml:space="preserve"> σύνδεσμο</w:t>
      </w:r>
      <w:r w:rsidR="00246709">
        <w:rPr>
          <w:b/>
          <w:sz w:val="22"/>
          <w:szCs w:val="22"/>
          <w:u w:val="single"/>
          <w:lang w:val="el-GR"/>
        </w:rPr>
        <w:t>ς</w:t>
      </w:r>
      <w:r w:rsidR="00F7479A">
        <w:rPr>
          <w:sz w:val="22"/>
          <w:szCs w:val="22"/>
          <w:lang w:val="el-GR"/>
        </w:rPr>
        <w:t>:</w:t>
      </w:r>
    </w:p>
    <w:p w14:paraId="778B17A2" w14:textId="77777777" w:rsidR="00943696" w:rsidRPr="0068536A" w:rsidRDefault="00943696" w:rsidP="000D7C7F">
      <w:pPr>
        <w:spacing w:line="360" w:lineRule="auto"/>
        <w:jc w:val="both"/>
        <w:rPr>
          <w:sz w:val="22"/>
          <w:szCs w:val="22"/>
          <w:lang w:val="el-GR"/>
        </w:rPr>
      </w:pPr>
      <w:hyperlink r:id="rId13" w:history="1">
        <w:r w:rsidRPr="00C14BE4">
          <w:rPr>
            <w:rStyle w:val="Hyperlink"/>
            <w:sz w:val="22"/>
            <w:szCs w:val="22"/>
            <w:lang w:val="el-GR"/>
          </w:rPr>
          <w:t>Συγκεντρωτικές λογιστικές κατ</w:t>
        </w:r>
        <w:r w:rsidRPr="00C14BE4">
          <w:rPr>
            <w:rStyle w:val="Hyperlink"/>
            <w:sz w:val="22"/>
            <w:szCs w:val="22"/>
            <w:lang w:val="el-GR"/>
          </w:rPr>
          <w:t>α</w:t>
        </w:r>
        <w:r w:rsidRPr="00C14BE4">
          <w:rPr>
            <w:rStyle w:val="Hyperlink"/>
            <w:sz w:val="22"/>
            <w:szCs w:val="22"/>
            <w:lang w:val="el-GR"/>
          </w:rPr>
          <w:t>σ</w:t>
        </w:r>
        <w:r w:rsidRPr="00C14BE4">
          <w:rPr>
            <w:rStyle w:val="Hyperlink"/>
            <w:sz w:val="22"/>
            <w:szCs w:val="22"/>
            <w:lang w:val="el-GR"/>
          </w:rPr>
          <w:t>τάσεις ασφαλιστικών επιχειρήσεων</w:t>
        </w:r>
      </w:hyperlink>
      <w:r>
        <w:rPr>
          <w:sz w:val="22"/>
          <w:szCs w:val="22"/>
          <w:lang w:val="el-GR"/>
        </w:rPr>
        <w:t xml:space="preserve"> </w:t>
      </w:r>
    </w:p>
    <w:sectPr w:rsidR="00943696" w:rsidRPr="0068536A" w:rsidSect="00C343F6">
      <w:footerReference w:type="default" r:id="rId14"/>
      <w:footerReference w:type="first" r:id="rId15"/>
      <w:pgSz w:w="11906" w:h="16838"/>
      <w:pgMar w:top="851" w:right="1418" w:bottom="1418" w:left="1418" w:header="720" w:footer="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D9E91" w14:textId="77777777" w:rsidR="004403FA" w:rsidRDefault="004403FA">
      <w:r>
        <w:separator/>
      </w:r>
    </w:p>
  </w:endnote>
  <w:endnote w:type="continuationSeparator" w:id="0">
    <w:p w14:paraId="05CEC9E4" w14:textId="77777777" w:rsidR="004403FA" w:rsidRDefault="0044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3A91A" w14:textId="77777777" w:rsidR="008D3B5F" w:rsidRDefault="008D3B5F" w:rsidP="006F37D0">
    <w:pPr>
      <w:tabs>
        <w:tab w:val="left" w:pos="2288"/>
      </w:tabs>
      <w:spacing w:line="360" w:lineRule="auto"/>
      <w:ind w:right="360"/>
      <w:rPr>
        <w:sz w:val="14"/>
        <w:lang w:val="el-GR"/>
      </w:rPr>
    </w:pPr>
    <w:r>
      <w:rPr>
        <w:sz w:val="20"/>
      </w:rPr>
      <w:tab/>
    </w:r>
  </w:p>
  <w:p w14:paraId="700B1AFE" w14:textId="77777777" w:rsidR="008D3B5F" w:rsidRPr="00614A99" w:rsidRDefault="008D3B5F" w:rsidP="00766A4F">
    <w:pPr>
      <w:pStyle w:val="Footer"/>
      <w:framePr w:wrap="auto" w:vAnchor="text" w:hAnchor="page" w:x="10807" w:y="301"/>
      <w:rPr>
        <w:rFonts w:ascii="Arial" w:hAnsi="Arial" w:cs="Arial"/>
      </w:rPr>
    </w:pPr>
  </w:p>
  <w:tbl>
    <w:tblPr>
      <w:tblW w:w="9498" w:type="dxa"/>
      <w:tblInd w:w="108" w:type="dxa"/>
      <w:tblBorders>
        <w:left w:val="single" w:sz="48" w:space="0" w:color="DEA400"/>
      </w:tblBorders>
      <w:tblLook w:val="0000" w:firstRow="0" w:lastRow="0" w:firstColumn="0" w:lastColumn="0" w:noHBand="0" w:noVBand="0"/>
    </w:tblPr>
    <w:tblGrid>
      <w:gridCol w:w="4917"/>
      <w:gridCol w:w="4581"/>
    </w:tblGrid>
    <w:tr w:rsidR="008D3B5F" w:rsidRPr="00766A4F" w14:paraId="5C46CAA2" w14:textId="77777777" w:rsidTr="00F26854">
      <w:tc>
        <w:tcPr>
          <w:tcW w:w="4917" w:type="dxa"/>
          <w:tcBorders>
            <w:left w:val="single" w:sz="48" w:space="0" w:color="BC9E6E"/>
          </w:tcBorders>
          <w:shd w:val="clear" w:color="auto" w:fill="auto"/>
        </w:tcPr>
        <w:p w14:paraId="7517663A" w14:textId="77777777" w:rsidR="008D3B5F" w:rsidRDefault="008D3B5F" w:rsidP="001E6951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r w:rsidRPr="00766A4F">
            <w:rPr>
              <w:rFonts w:ascii="Arial" w:hAnsi="Arial" w:cs="Arial"/>
              <w:sz w:val="14"/>
              <w:lang w:val="el-GR"/>
            </w:rPr>
            <w:t>Ελ. Βενιζέλου 21, Αθήνα 10250</w:t>
          </w:r>
        </w:p>
        <w:p w14:paraId="1DB9A4E6" w14:textId="77777777" w:rsidR="008D3B5F" w:rsidRDefault="008D3B5F" w:rsidP="001E6951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r w:rsidRPr="00766A4F">
            <w:rPr>
              <w:rFonts w:ascii="Arial" w:hAnsi="Arial" w:cs="Arial"/>
              <w:sz w:val="14"/>
              <w:lang w:val="el-GR"/>
            </w:rPr>
            <w:t>Τηλ</w:t>
          </w:r>
          <w:r>
            <w:rPr>
              <w:rFonts w:ascii="Arial" w:hAnsi="Arial" w:cs="Arial"/>
              <w:sz w:val="14"/>
              <w:lang w:val="en-US"/>
            </w:rPr>
            <w:t>:</w:t>
          </w:r>
          <w:r w:rsidRPr="005B1F16">
            <w:rPr>
              <w:rFonts w:ascii="Arial" w:hAnsi="Arial" w:cs="Arial"/>
              <w:sz w:val="14"/>
              <w:lang w:val="el-GR"/>
            </w:rPr>
            <w:t xml:space="preserve"> 210</w:t>
          </w:r>
          <w:r>
            <w:rPr>
              <w:rFonts w:ascii="Arial" w:hAnsi="Arial" w:cs="Arial"/>
              <w:sz w:val="14"/>
              <w:lang w:val="el-GR"/>
            </w:rPr>
            <w:t xml:space="preserve"> </w:t>
          </w:r>
          <w:r w:rsidRPr="005B1F16">
            <w:rPr>
              <w:rFonts w:ascii="Arial" w:hAnsi="Arial" w:cs="Arial"/>
              <w:sz w:val="14"/>
              <w:lang w:val="el-GR"/>
            </w:rPr>
            <w:t>320</w:t>
          </w:r>
          <w:r>
            <w:rPr>
              <w:rFonts w:ascii="Arial" w:hAnsi="Arial" w:cs="Arial"/>
              <w:sz w:val="14"/>
              <w:lang w:val="el-GR"/>
            </w:rPr>
            <w:t xml:space="preserve"> </w:t>
          </w:r>
          <w:r w:rsidRPr="005B1F16">
            <w:rPr>
              <w:rFonts w:ascii="Arial" w:hAnsi="Arial" w:cs="Arial"/>
              <w:sz w:val="14"/>
              <w:lang w:val="el-GR"/>
            </w:rPr>
            <w:t>3446-8</w:t>
          </w:r>
        </w:p>
        <w:p w14:paraId="75F7DFB2" w14:textId="4BD029C7" w:rsidR="008D3B5F" w:rsidRDefault="008D3B5F" w:rsidP="006B5E1E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hyperlink r:id="rId1" w:history="1"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press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@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bankofgreece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gr</w:t>
            </w:r>
          </w:hyperlink>
          <w:r>
            <w:rPr>
              <w:rFonts w:ascii="Arial" w:hAnsi="Arial" w:cs="Arial"/>
              <w:sz w:val="14"/>
              <w:lang w:val="el-GR"/>
            </w:rPr>
            <w:t xml:space="preserve"> | </w:t>
          </w:r>
          <w:r w:rsidRPr="006B5E1E">
            <w:rPr>
              <w:rFonts w:ascii="Arial" w:hAnsi="Arial" w:cs="Arial"/>
              <w:sz w:val="14"/>
              <w:lang w:val="el-GR"/>
            </w:rPr>
            <w:t xml:space="preserve"> </w:t>
          </w:r>
          <w:hyperlink r:id="rId2" w:history="1"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www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bankofgreece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gr</w:t>
            </w:r>
          </w:hyperlink>
          <w:r w:rsidRPr="006B5E1E">
            <w:rPr>
              <w:rFonts w:ascii="Arial" w:hAnsi="Arial" w:cs="Arial"/>
              <w:sz w:val="14"/>
              <w:lang w:val="el-GR"/>
            </w:rPr>
            <w:t xml:space="preserve"> </w:t>
          </w:r>
        </w:p>
      </w:tc>
      <w:tc>
        <w:tcPr>
          <w:tcW w:w="4581" w:type="dxa"/>
          <w:shd w:val="clear" w:color="auto" w:fill="auto"/>
        </w:tcPr>
        <w:p w14:paraId="414DAF31" w14:textId="028AC02E" w:rsidR="008D3B5F" w:rsidRPr="00184CB0" w:rsidRDefault="008D3B5F" w:rsidP="00766A4F">
          <w:pPr>
            <w:pStyle w:val="Footer"/>
            <w:tabs>
              <w:tab w:val="left" w:pos="5220"/>
            </w:tabs>
            <w:spacing w:before="60" w:after="60"/>
            <w:jc w:val="right"/>
            <w:rPr>
              <w:rFonts w:ascii="Arial" w:hAnsi="Arial" w:cs="Arial"/>
              <w:color w:val="auto"/>
              <w:sz w:val="14"/>
              <w:lang w:val="el-GR"/>
            </w:rPr>
          </w:pPr>
          <w:r w:rsidRPr="006F37D0">
            <w:rPr>
              <w:rFonts w:ascii="Arial" w:hAnsi="Arial" w:cs="Arial"/>
              <w:color w:val="auto"/>
              <w:sz w:val="18"/>
              <w:lang w:val="en-US"/>
            </w:rPr>
            <w:fldChar w:fldCharType="begin"/>
          </w:r>
          <w:r w:rsidRPr="006F37D0">
            <w:rPr>
              <w:rFonts w:ascii="Arial" w:hAnsi="Arial" w:cs="Arial"/>
              <w:color w:val="auto"/>
              <w:sz w:val="18"/>
              <w:lang w:val="en-US"/>
            </w:rPr>
            <w:instrText xml:space="preserve"> PAGE   \* MERGEFORMAT </w:instrText>
          </w:r>
          <w:r w:rsidRPr="006F37D0">
            <w:rPr>
              <w:rFonts w:ascii="Arial" w:hAnsi="Arial" w:cs="Arial"/>
              <w:color w:val="auto"/>
              <w:sz w:val="18"/>
              <w:lang w:val="en-US"/>
            </w:rPr>
            <w:fldChar w:fldCharType="separate"/>
          </w:r>
          <w:r w:rsidR="003D27A5">
            <w:rPr>
              <w:rFonts w:ascii="Arial" w:hAnsi="Arial" w:cs="Arial"/>
              <w:noProof/>
              <w:color w:val="auto"/>
              <w:sz w:val="18"/>
              <w:lang w:val="en-US"/>
            </w:rPr>
            <w:t>1</w:t>
          </w:r>
          <w:r w:rsidRPr="006F37D0">
            <w:rPr>
              <w:rFonts w:ascii="Arial" w:hAnsi="Arial" w:cs="Arial"/>
              <w:noProof/>
              <w:color w:val="auto"/>
              <w:sz w:val="18"/>
              <w:lang w:val="en-US"/>
            </w:rPr>
            <w:fldChar w:fldCharType="end"/>
          </w:r>
          <w:r>
            <w:rPr>
              <w:rFonts w:ascii="Arial" w:hAnsi="Arial" w:cs="Arial"/>
              <w:noProof/>
              <w:color w:val="auto"/>
              <w:sz w:val="18"/>
              <w:lang w:val="el-GR"/>
            </w:rPr>
            <w:t xml:space="preserve"> </w:t>
          </w:r>
          <w:r w:rsidRPr="00D929F5">
            <w:rPr>
              <w:rFonts w:ascii="Arial Black" w:hAnsi="Arial Black" w:cs="Arial"/>
              <w:b/>
              <w:noProof/>
              <w:color w:val="948A54"/>
              <w:sz w:val="22"/>
              <w:lang w:val="el-GR"/>
            </w:rPr>
            <w:t>|</w:t>
          </w:r>
        </w:p>
      </w:tc>
    </w:tr>
  </w:tbl>
  <w:p w14:paraId="22D88EE8" w14:textId="77777777" w:rsidR="008D3B5F" w:rsidRDefault="008D3B5F" w:rsidP="006F37D0">
    <w:pPr>
      <w:pStyle w:val="Footer"/>
      <w:ind w:right="360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44306" w14:textId="77777777" w:rsidR="008D3B5F" w:rsidRDefault="008D3B5F">
    <w:pPr>
      <w:pStyle w:val="Footer"/>
      <w:rPr>
        <w:sz w:val="20"/>
        <w:lang w:val="de-DE"/>
      </w:rPr>
    </w:pPr>
  </w:p>
  <w:p w14:paraId="47FC221C" w14:textId="77777777" w:rsidR="008D3B5F" w:rsidRDefault="008D3B5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EB639" w14:textId="77777777" w:rsidR="004403FA" w:rsidRDefault="004403FA">
      <w:r>
        <w:separator/>
      </w:r>
    </w:p>
  </w:footnote>
  <w:footnote w:type="continuationSeparator" w:id="0">
    <w:p w14:paraId="57F9E12C" w14:textId="77777777" w:rsidR="004403FA" w:rsidRDefault="00440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11E86"/>
    <w:multiLevelType w:val="hybridMultilevel"/>
    <w:tmpl w:val="286AAF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57AE8"/>
    <w:multiLevelType w:val="hybridMultilevel"/>
    <w:tmpl w:val="52E6AA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161CE"/>
    <w:multiLevelType w:val="hybridMultilevel"/>
    <w:tmpl w:val="CC542B5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D85D8F"/>
    <w:multiLevelType w:val="hybridMultilevel"/>
    <w:tmpl w:val="8F762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1606F"/>
    <w:multiLevelType w:val="hybridMultilevel"/>
    <w:tmpl w:val="B5B20C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37F4D"/>
    <w:multiLevelType w:val="hybridMultilevel"/>
    <w:tmpl w:val="E4D8B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C082B"/>
    <w:multiLevelType w:val="hybridMultilevel"/>
    <w:tmpl w:val="3488B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446893">
    <w:abstractNumId w:val="4"/>
  </w:num>
  <w:num w:numId="2" w16cid:durableId="1239247945">
    <w:abstractNumId w:val="6"/>
  </w:num>
  <w:num w:numId="3" w16cid:durableId="1805156093">
    <w:abstractNumId w:val="5"/>
  </w:num>
  <w:num w:numId="4" w16cid:durableId="289631787">
    <w:abstractNumId w:val="2"/>
  </w:num>
  <w:num w:numId="5" w16cid:durableId="769205184">
    <w:abstractNumId w:val="1"/>
  </w:num>
  <w:num w:numId="6" w16cid:durableId="967928351">
    <w:abstractNumId w:val="3"/>
  </w:num>
  <w:num w:numId="7" w16cid:durableId="182874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0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4A"/>
    <w:rsid w:val="00000BED"/>
    <w:rsid w:val="00000C30"/>
    <w:rsid w:val="0000324F"/>
    <w:rsid w:val="000103ED"/>
    <w:rsid w:val="000207FB"/>
    <w:rsid w:val="00021402"/>
    <w:rsid w:val="00022F02"/>
    <w:rsid w:val="000243CF"/>
    <w:rsid w:val="00025D59"/>
    <w:rsid w:val="000272CF"/>
    <w:rsid w:val="00031746"/>
    <w:rsid w:val="000321CE"/>
    <w:rsid w:val="00035F94"/>
    <w:rsid w:val="000361A0"/>
    <w:rsid w:val="00036433"/>
    <w:rsid w:val="00037147"/>
    <w:rsid w:val="00037252"/>
    <w:rsid w:val="00043B61"/>
    <w:rsid w:val="00043B74"/>
    <w:rsid w:val="00044C8F"/>
    <w:rsid w:val="0004510B"/>
    <w:rsid w:val="00045338"/>
    <w:rsid w:val="00051354"/>
    <w:rsid w:val="000606A0"/>
    <w:rsid w:val="00073219"/>
    <w:rsid w:val="00075560"/>
    <w:rsid w:val="000766A4"/>
    <w:rsid w:val="0008485C"/>
    <w:rsid w:val="00086D3F"/>
    <w:rsid w:val="00086E10"/>
    <w:rsid w:val="00087384"/>
    <w:rsid w:val="000A12E8"/>
    <w:rsid w:val="000A1CAE"/>
    <w:rsid w:val="000A288F"/>
    <w:rsid w:val="000A304A"/>
    <w:rsid w:val="000A4140"/>
    <w:rsid w:val="000A5141"/>
    <w:rsid w:val="000A5239"/>
    <w:rsid w:val="000A6028"/>
    <w:rsid w:val="000A76FB"/>
    <w:rsid w:val="000B6068"/>
    <w:rsid w:val="000B7923"/>
    <w:rsid w:val="000C24A8"/>
    <w:rsid w:val="000C32E3"/>
    <w:rsid w:val="000C32E7"/>
    <w:rsid w:val="000C46DD"/>
    <w:rsid w:val="000C5182"/>
    <w:rsid w:val="000C7A18"/>
    <w:rsid w:val="000D0221"/>
    <w:rsid w:val="000D1A19"/>
    <w:rsid w:val="000D2F97"/>
    <w:rsid w:val="000D3239"/>
    <w:rsid w:val="000D40CD"/>
    <w:rsid w:val="000D436D"/>
    <w:rsid w:val="000D4A1A"/>
    <w:rsid w:val="000D51E7"/>
    <w:rsid w:val="000D5526"/>
    <w:rsid w:val="000D7C7F"/>
    <w:rsid w:val="000E56F5"/>
    <w:rsid w:val="000F7419"/>
    <w:rsid w:val="000F7B2B"/>
    <w:rsid w:val="0010083B"/>
    <w:rsid w:val="00100B00"/>
    <w:rsid w:val="00100FFB"/>
    <w:rsid w:val="00102508"/>
    <w:rsid w:val="001031E0"/>
    <w:rsid w:val="00104D7C"/>
    <w:rsid w:val="001079B1"/>
    <w:rsid w:val="0011136C"/>
    <w:rsid w:val="00114E1A"/>
    <w:rsid w:val="0011682E"/>
    <w:rsid w:val="001231FA"/>
    <w:rsid w:val="0012342A"/>
    <w:rsid w:val="00130A95"/>
    <w:rsid w:val="00135118"/>
    <w:rsid w:val="001371E6"/>
    <w:rsid w:val="00150D6B"/>
    <w:rsid w:val="001529B2"/>
    <w:rsid w:val="00153D95"/>
    <w:rsid w:val="00156FD4"/>
    <w:rsid w:val="0016078E"/>
    <w:rsid w:val="00162AA8"/>
    <w:rsid w:val="00164650"/>
    <w:rsid w:val="00165A59"/>
    <w:rsid w:val="00167AF4"/>
    <w:rsid w:val="00170525"/>
    <w:rsid w:val="00171FCD"/>
    <w:rsid w:val="00172659"/>
    <w:rsid w:val="001761E8"/>
    <w:rsid w:val="00176908"/>
    <w:rsid w:val="001804B1"/>
    <w:rsid w:val="00180F26"/>
    <w:rsid w:val="00183895"/>
    <w:rsid w:val="00184893"/>
    <w:rsid w:val="00184CB0"/>
    <w:rsid w:val="00185971"/>
    <w:rsid w:val="00190173"/>
    <w:rsid w:val="00191FCC"/>
    <w:rsid w:val="0019445C"/>
    <w:rsid w:val="0019580D"/>
    <w:rsid w:val="00196A6A"/>
    <w:rsid w:val="0019776D"/>
    <w:rsid w:val="001A04E8"/>
    <w:rsid w:val="001A04FD"/>
    <w:rsid w:val="001A37A9"/>
    <w:rsid w:val="001A3F3F"/>
    <w:rsid w:val="001A40FA"/>
    <w:rsid w:val="001A4435"/>
    <w:rsid w:val="001A4D11"/>
    <w:rsid w:val="001A634D"/>
    <w:rsid w:val="001A759A"/>
    <w:rsid w:val="001B003E"/>
    <w:rsid w:val="001B08FE"/>
    <w:rsid w:val="001B4579"/>
    <w:rsid w:val="001B5132"/>
    <w:rsid w:val="001B571F"/>
    <w:rsid w:val="001B584E"/>
    <w:rsid w:val="001B79B1"/>
    <w:rsid w:val="001C0241"/>
    <w:rsid w:val="001C1BDE"/>
    <w:rsid w:val="001C2A15"/>
    <w:rsid w:val="001C2E8A"/>
    <w:rsid w:val="001C32D0"/>
    <w:rsid w:val="001C5B48"/>
    <w:rsid w:val="001C6090"/>
    <w:rsid w:val="001D08CB"/>
    <w:rsid w:val="001D1F08"/>
    <w:rsid w:val="001D4298"/>
    <w:rsid w:val="001D43E1"/>
    <w:rsid w:val="001D4972"/>
    <w:rsid w:val="001D541F"/>
    <w:rsid w:val="001D6738"/>
    <w:rsid w:val="001E0BD5"/>
    <w:rsid w:val="001E26A3"/>
    <w:rsid w:val="001E2B9B"/>
    <w:rsid w:val="001E3BEA"/>
    <w:rsid w:val="001E3FDE"/>
    <w:rsid w:val="001E45DF"/>
    <w:rsid w:val="001E6951"/>
    <w:rsid w:val="001F0CF2"/>
    <w:rsid w:val="001F1804"/>
    <w:rsid w:val="00201E7D"/>
    <w:rsid w:val="00202559"/>
    <w:rsid w:val="00202FDB"/>
    <w:rsid w:val="00204DB2"/>
    <w:rsid w:val="00205958"/>
    <w:rsid w:val="0020676E"/>
    <w:rsid w:val="00207C8D"/>
    <w:rsid w:val="002101EB"/>
    <w:rsid w:val="002106F2"/>
    <w:rsid w:val="002119D3"/>
    <w:rsid w:val="00211A3F"/>
    <w:rsid w:val="0021416E"/>
    <w:rsid w:val="0021686C"/>
    <w:rsid w:val="0022527E"/>
    <w:rsid w:val="00225AAC"/>
    <w:rsid w:val="00225FFB"/>
    <w:rsid w:val="002268E0"/>
    <w:rsid w:val="00227116"/>
    <w:rsid w:val="002369D3"/>
    <w:rsid w:val="002435A1"/>
    <w:rsid w:val="00244915"/>
    <w:rsid w:val="00246066"/>
    <w:rsid w:val="00246709"/>
    <w:rsid w:val="002467E8"/>
    <w:rsid w:val="0025157C"/>
    <w:rsid w:val="0025476E"/>
    <w:rsid w:val="00260190"/>
    <w:rsid w:val="002608D5"/>
    <w:rsid w:val="00261532"/>
    <w:rsid w:val="002621C4"/>
    <w:rsid w:val="002623EC"/>
    <w:rsid w:val="0026566C"/>
    <w:rsid w:val="00270D07"/>
    <w:rsid w:val="002731A5"/>
    <w:rsid w:val="002738DF"/>
    <w:rsid w:val="00273BE1"/>
    <w:rsid w:val="00274E8C"/>
    <w:rsid w:val="00276BA1"/>
    <w:rsid w:val="00277868"/>
    <w:rsid w:val="00277A79"/>
    <w:rsid w:val="00280ED8"/>
    <w:rsid w:val="002835EB"/>
    <w:rsid w:val="00287821"/>
    <w:rsid w:val="002919C1"/>
    <w:rsid w:val="00292729"/>
    <w:rsid w:val="00293732"/>
    <w:rsid w:val="00295A74"/>
    <w:rsid w:val="002A0287"/>
    <w:rsid w:val="002A1832"/>
    <w:rsid w:val="002A2D24"/>
    <w:rsid w:val="002A3590"/>
    <w:rsid w:val="002A3AB7"/>
    <w:rsid w:val="002B0B7C"/>
    <w:rsid w:val="002B3E38"/>
    <w:rsid w:val="002B45DC"/>
    <w:rsid w:val="002B5FB8"/>
    <w:rsid w:val="002C168A"/>
    <w:rsid w:val="002C3935"/>
    <w:rsid w:val="002C7892"/>
    <w:rsid w:val="002D3F97"/>
    <w:rsid w:val="002D78B0"/>
    <w:rsid w:val="002E03D7"/>
    <w:rsid w:val="002E16AE"/>
    <w:rsid w:val="002E41FD"/>
    <w:rsid w:val="002F2DA8"/>
    <w:rsid w:val="00302264"/>
    <w:rsid w:val="00304031"/>
    <w:rsid w:val="00304528"/>
    <w:rsid w:val="003059DB"/>
    <w:rsid w:val="00311BFA"/>
    <w:rsid w:val="00313191"/>
    <w:rsid w:val="0031508B"/>
    <w:rsid w:val="00316F13"/>
    <w:rsid w:val="00320888"/>
    <w:rsid w:val="003210D9"/>
    <w:rsid w:val="00321292"/>
    <w:rsid w:val="003217D2"/>
    <w:rsid w:val="00322304"/>
    <w:rsid w:val="003227B0"/>
    <w:rsid w:val="00323288"/>
    <w:rsid w:val="003239FD"/>
    <w:rsid w:val="00323F01"/>
    <w:rsid w:val="00324AD8"/>
    <w:rsid w:val="00325A6F"/>
    <w:rsid w:val="00326B05"/>
    <w:rsid w:val="00327FA0"/>
    <w:rsid w:val="0033148C"/>
    <w:rsid w:val="00333E5C"/>
    <w:rsid w:val="003348CF"/>
    <w:rsid w:val="003363D3"/>
    <w:rsid w:val="00336459"/>
    <w:rsid w:val="00336C05"/>
    <w:rsid w:val="00340C76"/>
    <w:rsid w:val="003454F8"/>
    <w:rsid w:val="0034579F"/>
    <w:rsid w:val="0034678E"/>
    <w:rsid w:val="00352501"/>
    <w:rsid w:val="00355259"/>
    <w:rsid w:val="00357937"/>
    <w:rsid w:val="003603E9"/>
    <w:rsid w:val="00361374"/>
    <w:rsid w:val="003636A6"/>
    <w:rsid w:val="00363E3F"/>
    <w:rsid w:val="0036732C"/>
    <w:rsid w:val="00370A65"/>
    <w:rsid w:val="0037238A"/>
    <w:rsid w:val="003724AC"/>
    <w:rsid w:val="00374998"/>
    <w:rsid w:val="00375D2B"/>
    <w:rsid w:val="00376B9E"/>
    <w:rsid w:val="00385AAE"/>
    <w:rsid w:val="00386254"/>
    <w:rsid w:val="00386A99"/>
    <w:rsid w:val="003874C8"/>
    <w:rsid w:val="003877F1"/>
    <w:rsid w:val="003916CA"/>
    <w:rsid w:val="00392BD7"/>
    <w:rsid w:val="00397328"/>
    <w:rsid w:val="003A245D"/>
    <w:rsid w:val="003A3DE4"/>
    <w:rsid w:val="003A3EFC"/>
    <w:rsid w:val="003A4A4F"/>
    <w:rsid w:val="003A5CE8"/>
    <w:rsid w:val="003A6642"/>
    <w:rsid w:val="003B102C"/>
    <w:rsid w:val="003B10B9"/>
    <w:rsid w:val="003B2A1F"/>
    <w:rsid w:val="003B3773"/>
    <w:rsid w:val="003B5340"/>
    <w:rsid w:val="003C3284"/>
    <w:rsid w:val="003C3AA5"/>
    <w:rsid w:val="003C3FF1"/>
    <w:rsid w:val="003C4471"/>
    <w:rsid w:val="003C7D62"/>
    <w:rsid w:val="003D27A5"/>
    <w:rsid w:val="003E11F9"/>
    <w:rsid w:val="003E52E6"/>
    <w:rsid w:val="003E5481"/>
    <w:rsid w:val="003E54F3"/>
    <w:rsid w:val="003E5746"/>
    <w:rsid w:val="003E7989"/>
    <w:rsid w:val="003F30F5"/>
    <w:rsid w:val="003F4240"/>
    <w:rsid w:val="0040152E"/>
    <w:rsid w:val="00401A0A"/>
    <w:rsid w:val="004020AD"/>
    <w:rsid w:val="004030A3"/>
    <w:rsid w:val="00404404"/>
    <w:rsid w:val="00405D8C"/>
    <w:rsid w:val="00406D19"/>
    <w:rsid w:val="00412B74"/>
    <w:rsid w:val="00413D11"/>
    <w:rsid w:val="00414884"/>
    <w:rsid w:val="00417ED3"/>
    <w:rsid w:val="00422D68"/>
    <w:rsid w:val="00425288"/>
    <w:rsid w:val="00425578"/>
    <w:rsid w:val="00425691"/>
    <w:rsid w:val="00431C91"/>
    <w:rsid w:val="004341F8"/>
    <w:rsid w:val="0043621F"/>
    <w:rsid w:val="004403FA"/>
    <w:rsid w:val="00440526"/>
    <w:rsid w:val="00443B6C"/>
    <w:rsid w:val="004450D7"/>
    <w:rsid w:val="00450A56"/>
    <w:rsid w:val="00452F14"/>
    <w:rsid w:val="00453C47"/>
    <w:rsid w:val="0045489C"/>
    <w:rsid w:val="004561AE"/>
    <w:rsid w:val="0046071D"/>
    <w:rsid w:val="0046142C"/>
    <w:rsid w:val="00463F9F"/>
    <w:rsid w:val="00464C3A"/>
    <w:rsid w:val="00465E98"/>
    <w:rsid w:val="00466134"/>
    <w:rsid w:val="00467367"/>
    <w:rsid w:val="0047134D"/>
    <w:rsid w:val="0047661B"/>
    <w:rsid w:val="00483018"/>
    <w:rsid w:val="00483CAF"/>
    <w:rsid w:val="004842B7"/>
    <w:rsid w:val="00491524"/>
    <w:rsid w:val="0049285D"/>
    <w:rsid w:val="00492D32"/>
    <w:rsid w:val="00493C40"/>
    <w:rsid w:val="004941FC"/>
    <w:rsid w:val="00494933"/>
    <w:rsid w:val="00495F5E"/>
    <w:rsid w:val="00497CD2"/>
    <w:rsid w:val="004A2F5D"/>
    <w:rsid w:val="004A5226"/>
    <w:rsid w:val="004A549E"/>
    <w:rsid w:val="004A585A"/>
    <w:rsid w:val="004A59BA"/>
    <w:rsid w:val="004A6AA9"/>
    <w:rsid w:val="004A72BA"/>
    <w:rsid w:val="004B2531"/>
    <w:rsid w:val="004B2E9E"/>
    <w:rsid w:val="004B3C76"/>
    <w:rsid w:val="004B685D"/>
    <w:rsid w:val="004B79B4"/>
    <w:rsid w:val="004C1336"/>
    <w:rsid w:val="004C30E9"/>
    <w:rsid w:val="004C3CD2"/>
    <w:rsid w:val="004C4E8B"/>
    <w:rsid w:val="004C6096"/>
    <w:rsid w:val="004D5B1D"/>
    <w:rsid w:val="004D63E0"/>
    <w:rsid w:val="004D697B"/>
    <w:rsid w:val="004D7D32"/>
    <w:rsid w:val="004E5A4F"/>
    <w:rsid w:val="004F52A9"/>
    <w:rsid w:val="004F5C97"/>
    <w:rsid w:val="0050428A"/>
    <w:rsid w:val="00505D63"/>
    <w:rsid w:val="0051243B"/>
    <w:rsid w:val="005125BA"/>
    <w:rsid w:val="005148CF"/>
    <w:rsid w:val="00515766"/>
    <w:rsid w:val="00520777"/>
    <w:rsid w:val="00526BDB"/>
    <w:rsid w:val="00530DAA"/>
    <w:rsid w:val="0053151A"/>
    <w:rsid w:val="00533BA6"/>
    <w:rsid w:val="005342DE"/>
    <w:rsid w:val="00534F3A"/>
    <w:rsid w:val="00535D25"/>
    <w:rsid w:val="00536D86"/>
    <w:rsid w:val="0053772A"/>
    <w:rsid w:val="00540923"/>
    <w:rsid w:val="0054190C"/>
    <w:rsid w:val="00542108"/>
    <w:rsid w:val="005433A8"/>
    <w:rsid w:val="005455AF"/>
    <w:rsid w:val="005508B9"/>
    <w:rsid w:val="0055155F"/>
    <w:rsid w:val="00551681"/>
    <w:rsid w:val="0055341B"/>
    <w:rsid w:val="00553F6C"/>
    <w:rsid w:val="00563313"/>
    <w:rsid w:val="00564CE7"/>
    <w:rsid w:val="0056543C"/>
    <w:rsid w:val="00566F2F"/>
    <w:rsid w:val="00572D5B"/>
    <w:rsid w:val="00575640"/>
    <w:rsid w:val="005808FF"/>
    <w:rsid w:val="00581ADC"/>
    <w:rsid w:val="00584A58"/>
    <w:rsid w:val="0058540F"/>
    <w:rsid w:val="005863E4"/>
    <w:rsid w:val="00586474"/>
    <w:rsid w:val="00586BA9"/>
    <w:rsid w:val="0059130C"/>
    <w:rsid w:val="00591679"/>
    <w:rsid w:val="00593A10"/>
    <w:rsid w:val="00594A3A"/>
    <w:rsid w:val="00594AFF"/>
    <w:rsid w:val="00594CE9"/>
    <w:rsid w:val="0059572B"/>
    <w:rsid w:val="00596AD8"/>
    <w:rsid w:val="00597D4C"/>
    <w:rsid w:val="005A2D03"/>
    <w:rsid w:val="005A484D"/>
    <w:rsid w:val="005A4AF4"/>
    <w:rsid w:val="005A5CFF"/>
    <w:rsid w:val="005B0BBC"/>
    <w:rsid w:val="005B1F16"/>
    <w:rsid w:val="005B2673"/>
    <w:rsid w:val="005B26E5"/>
    <w:rsid w:val="005B4F98"/>
    <w:rsid w:val="005B53DD"/>
    <w:rsid w:val="005B5861"/>
    <w:rsid w:val="005B5CFE"/>
    <w:rsid w:val="005B5DEE"/>
    <w:rsid w:val="005C0215"/>
    <w:rsid w:val="005C03B0"/>
    <w:rsid w:val="005C059A"/>
    <w:rsid w:val="005C0C4E"/>
    <w:rsid w:val="005C0CDA"/>
    <w:rsid w:val="005C558F"/>
    <w:rsid w:val="005D07F3"/>
    <w:rsid w:val="005D0908"/>
    <w:rsid w:val="005D7264"/>
    <w:rsid w:val="005D7E3F"/>
    <w:rsid w:val="005E078D"/>
    <w:rsid w:val="005E1CCD"/>
    <w:rsid w:val="005E2B89"/>
    <w:rsid w:val="005F1CA8"/>
    <w:rsid w:val="005F2746"/>
    <w:rsid w:val="005F2FB1"/>
    <w:rsid w:val="005F43AD"/>
    <w:rsid w:val="005F5E3D"/>
    <w:rsid w:val="005F7DEF"/>
    <w:rsid w:val="00600570"/>
    <w:rsid w:val="00604D0C"/>
    <w:rsid w:val="00606096"/>
    <w:rsid w:val="00606E2F"/>
    <w:rsid w:val="00611D36"/>
    <w:rsid w:val="00614A99"/>
    <w:rsid w:val="00617823"/>
    <w:rsid w:val="00627512"/>
    <w:rsid w:val="00627DC6"/>
    <w:rsid w:val="00632ADE"/>
    <w:rsid w:val="006377A0"/>
    <w:rsid w:val="00640B23"/>
    <w:rsid w:val="0064172A"/>
    <w:rsid w:val="006418EF"/>
    <w:rsid w:val="006435C6"/>
    <w:rsid w:val="006451CB"/>
    <w:rsid w:val="006478DF"/>
    <w:rsid w:val="006479D2"/>
    <w:rsid w:val="00653548"/>
    <w:rsid w:val="006542A4"/>
    <w:rsid w:val="00656C46"/>
    <w:rsid w:val="00656E82"/>
    <w:rsid w:val="00663966"/>
    <w:rsid w:val="00670E12"/>
    <w:rsid w:val="006729E2"/>
    <w:rsid w:val="00673BC3"/>
    <w:rsid w:val="00676E1F"/>
    <w:rsid w:val="00677754"/>
    <w:rsid w:val="0068377E"/>
    <w:rsid w:val="0068536A"/>
    <w:rsid w:val="0068574E"/>
    <w:rsid w:val="006901E8"/>
    <w:rsid w:val="006932B9"/>
    <w:rsid w:val="006949A5"/>
    <w:rsid w:val="006953AE"/>
    <w:rsid w:val="0069557D"/>
    <w:rsid w:val="00696E1E"/>
    <w:rsid w:val="006A2DD2"/>
    <w:rsid w:val="006A30C7"/>
    <w:rsid w:val="006B1229"/>
    <w:rsid w:val="006B4FBF"/>
    <w:rsid w:val="006B5E1E"/>
    <w:rsid w:val="006C0B48"/>
    <w:rsid w:val="006C3C0E"/>
    <w:rsid w:val="006C45E9"/>
    <w:rsid w:val="006C4B93"/>
    <w:rsid w:val="006D07A5"/>
    <w:rsid w:val="006D2AC6"/>
    <w:rsid w:val="006D3D1E"/>
    <w:rsid w:val="006D61DE"/>
    <w:rsid w:val="006D681E"/>
    <w:rsid w:val="006D6997"/>
    <w:rsid w:val="006D76A8"/>
    <w:rsid w:val="006E2C34"/>
    <w:rsid w:val="006E33AF"/>
    <w:rsid w:val="006E4337"/>
    <w:rsid w:val="006E599B"/>
    <w:rsid w:val="006F215E"/>
    <w:rsid w:val="006F37D0"/>
    <w:rsid w:val="006F5FB3"/>
    <w:rsid w:val="006F7A91"/>
    <w:rsid w:val="00700214"/>
    <w:rsid w:val="00700C4B"/>
    <w:rsid w:val="00701195"/>
    <w:rsid w:val="007013E4"/>
    <w:rsid w:val="00701637"/>
    <w:rsid w:val="00701FB4"/>
    <w:rsid w:val="0070664E"/>
    <w:rsid w:val="00706B42"/>
    <w:rsid w:val="00706CC8"/>
    <w:rsid w:val="00714EDE"/>
    <w:rsid w:val="00715418"/>
    <w:rsid w:val="00716FF3"/>
    <w:rsid w:val="007233B4"/>
    <w:rsid w:val="00723509"/>
    <w:rsid w:val="00724E80"/>
    <w:rsid w:val="0073051C"/>
    <w:rsid w:val="00730ACE"/>
    <w:rsid w:val="007354F4"/>
    <w:rsid w:val="0073681A"/>
    <w:rsid w:val="00737D6B"/>
    <w:rsid w:val="00740DC0"/>
    <w:rsid w:val="00742CAC"/>
    <w:rsid w:val="0074387F"/>
    <w:rsid w:val="00746506"/>
    <w:rsid w:val="00747704"/>
    <w:rsid w:val="00750403"/>
    <w:rsid w:val="00752A65"/>
    <w:rsid w:val="00755568"/>
    <w:rsid w:val="00755A38"/>
    <w:rsid w:val="00764C47"/>
    <w:rsid w:val="00766A4F"/>
    <w:rsid w:val="0076799D"/>
    <w:rsid w:val="00767D3F"/>
    <w:rsid w:val="007736AF"/>
    <w:rsid w:val="00775F54"/>
    <w:rsid w:val="00776A9E"/>
    <w:rsid w:val="00786DC5"/>
    <w:rsid w:val="007874D4"/>
    <w:rsid w:val="0078773A"/>
    <w:rsid w:val="00787EB3"/>
    <w:rsid w:val="00790999"/>
    <w:rsid w:val="00794D78"/>
    <w:rsid w:val="007A0D33"/>
    <w:rsid w:val="007A4B62"/>
    <w:rsid w:val="007A6ACF"/>
    <w:rsid w:val="007A73D9"/>
    <w:rsid w:val="007A7B23"/>
    <w:rsid w:val="007B2D6A"/>
    <w:rsid w:val="007B4C5C"/>
    <w:rsid w:val="007C0704"/>
    <w:rsid w:val="007C1B96"/>
    <w:rsid w:val="007C4A55"/>
    <w:rsid w:val="007C6FC4"/>
    <w:rsid w:val="007C7957"/>
    <w:rsid w:val="007D183C"/>
    <w:rsid w:val="007D1FEA"/>
    <w:rsid w:val="007D4426"/>
    <w:rsid w:val="007D6D45"/>
    <w:rsid w:val="007E30AD"/>
    <w:rsid w:val="007F040F"/>
    <w:rsid w:val="007F2DA5"/>
    <w:rsid w:val="007F3533"/>
    <w:rsid w:val="007F6D74"/>
    <w:rsid w:val="00800998"/>
    <w:rsid w:val="00802F8A"/>
    <w:rsid w:val="008038E6"/>
    <w:rsid w:val="008070BA"/>
    <w:rsid w:val="008116CE"/>
    <w:rsid w:val="00812150"/>
    <w:rsid w:val="00812863"/>
    <w:rsid w:val="00812EC2"/>
    <w:rsid w:val="00814E60"/>
    <w:rsid w:val="00815A8F"/>
    <w:rsid w:val="00816456"/>
    <w:rsid w:val="00817F3B"/>
    <w:rsid w:val="008236F9"/>
    <w:rsid w:val="008243B6"/>
    <w:rsid w:val="00824A41"/>
    <w:rsid w:val="00826F93"/>
    <w:rsid w:val="00832116"/>
    <w:rsid w:val="00835A34"/>
    <w:rsid w:val="008379D3"/>
    <w:rsid w:val="00837AC2"/>
    <w:rsid w:val="00845FB3"/>
    <w:rsid w:val="008467B8"/>
    <w:rsid w:val="00852B7D"/>
    <w:rsid w:val="00853EC0"/>
    <w:rsid w:val="00855C86"/>
    <w:rsid w:val="0085688E"/>
    <w:rsid w:val="008627F6"/>
    <w:rsid w:val="00863881"/>
    <w:rsid w:val="00864DCC"/>
    <w:rsid w:val="00867592"/>
    <w:rsid w:val="00871F0B"/>
    <w:rsid w:val="0087283A"/>
    <w:rsid w:val="00873049"/>
    <w:rsid w:val="00876C6E"/>
    <w:rsid w:val="00880605"/>
    <w:rsid w:val="00881E6B"/>
    <w:rsid w:val="00883D7D"/>
    <w:rsid w:val="008862B6"/>
    <w:rsid w:val="008862BA"/>
    <w:rsid w:val="00890992"/>
    <w:rsid w:val="00891086"/>
    <w:rsid w:val="008911FF"/>
    <w:rsid w:val="00892B9F"/>
    <w:rsid w:val="00893E0E"/>
    <w:rsid w:val="00894070"/>
    <w:rsid w:val="008949B5"/>
    <w:rsid w:val="008965DC"/>
    <w:rsid w:val="00897061"/>
    <w:rsid w:val="00897AC1"/>
    <w:rsid w:val="008A2A66"/>
    <w:rsid w:val="008A3769"/>
    <w:rsid w:val="008A443F"/>
    <w:rsid w:val="008A6225"/>
    <w:rsid w:val="008A6933"/>
    <w:rsid w:val="008B02A4"/>
    <w:rsid w:val="008B0419"/>
    <w:rsid w:val="008B0823"/>
    <w:rsid w:val="008B09DB"/>
    <w:rsid w:val="008B3C40"/>
    <w:rsid w:val="008B4C98"/>
    <w:rsid w:val="008B5AA3"/>
    <w:rsid w:val="008B61C2"/>
    <w:rsid w:val="008C3894"/>
    <w:rsid w:val="008C4C9B"/>
    <w:rsid w:val="008C769E"/>
    <w:rsid w:val="008D28E5"/>
    <w:rsid w:val="008D3B5F"/>
    <w:rsid w:val="008E1CA5"/>
    <w:rsid w:val="008E7AC5"/>
    <w:rsid w:val="008E7EAC"/>
    <w:rsid w:val="008F0377"/>
    <w:rsid w:val="008F0504"/>
    <w:rsid w:val="008F1D5F"/>
    <w:rsid w:val="008F7582"/>
    <w:rsid w:val="00900E3D"/>
    <w:rsid w:val="00903C6F"/>
    <w:rsid w:val="00905509"/>
    <w:rsid w:val="0090628A"/>
    <w:rsid w:val="00906441"/>
    <w:rsid w:val="009075D8"/>
    <w:rsid w:val="00913BDE"/>
    <w:rsid w:val="0091536D"/>
    <w:rsid w:val="009165DB"/>
    <w:rsid w:val="00926B96"/>
    <w:rsid w:val="00930F48"/>
    <w:rsid w:val="00931F01"/>
    <w:rsid w:val="00932D01"/>
    <w:rsid w:val="00933616"/>
    <w:rsid w:val="00935044"/>
    <w:rsid w:val="009408DE"/>
    <w:rsid w:val="00941485"/>
    <w:rsid w:val="009418D5"/>
    <w:rsid w:val="00941C62"/>
    <w:rsid w:val="009420A4"/>
    <w:rsid w:val="00943696"/>
    <w:rsid w:val="0094602B"/>
    <w:rsid w:val="00951FE9"/>
    <w:rsid w:val="00953005"/>
    <w:rsid w:val="009533AD"/>
    <w:rsid w:val="00957998"/>
    <w:rsid w:val="00960C0B"/>
    <w:rsid w:val="009630D5"/>
    <w:rsid w:val="009650DB"/>
    <w:rsid w:val="00966906"/>
    <w:rsid w:val="00967373"/>
    <w:rsid w:val="009679C6"/>
    <w:rsid w:val="00971D89"/>
    <w:rsid w:val="00971ED2"/>
    <w:rsid w:val="009801C9"/>
    <w:rsid w:val="0098101E"/>
    <w:rsid w:val="009819E1"/>
    <w:rsid w:val="00984831"/>
    <w:rsid w:val="0098540D"/>
    <w:rsid w:val="00985502"/>
    <w:rsid w:val="00985BE4"/>
    <w:rsid w:val="0098712A"/>
    <w:rsid w:val="009917B1"/>
    <w:rsid w:val="00992F9A"/>
    <w:rsid w:val="00995E0B"/>
    <w:rsid w:val="009969F3"/>
    <w:rsid w:val="009A1FED"/>
    <w:rsid w:val="009A27E5"/>
    <w:rsid w:val="009A2846"/>
    <w:rsid w:val="009A353A"/>
    <w:rsid w:val="009A3911"/>
    <w:rsid w:val="009B057A"/>
    <w:rsid w:val="009B140D"/>
    <w:rsid w:val="009B1D8F"/>
    <w:rsid w:val="009B2154"/>
    <w:rsid w:val="009B269A"/>
    <w:rsid w:val="009B65DC"/>
    <w:rsid w:val="009B6D8B"/>
    <w:rsid w:val="009C147E"/>
    <w:rsid w:val="009C19AD"/>
    <w:rsid w:val="009C3187"/>
    <w:rsid w:val="009C3BD9"/>
    <w:rsid w:val="009C4E57"/>
    <w:rsid w:val="009C694F"/>
    <w:rsid w:val="009C7987"/>
    <w:rsid w:val="009D23DB"/>
    <w:rsid w:val="009D5566"/>
    <w:rsid w:val="009E7AA5"/>
    <w:rsid w:val="009F09C9"/>
    <w:rsid w:val="009F46C4"/>
    <w:rsid w:val="009F563F"/>
    <w:rsid w:val="009F7340"/>
    <w:rsid w:val="009F7B6F"/>
    <w:rsid w:val="00A01474"/>
    <w:rsid w:val="00A01848"/>
    <w:rsid w:val="00A0190C"/>
    <w:rsid w:val="00A028BF"/>
    <w:rsid w:val="00A03640"/>
    <w:rsid w:val="00A044CC"/>
    <w:rsid w:val="00A058E4"/>
    <w:rsid w:val="00A06237"/>
    <w:rsid w:val="00A06AC3"/>
    <w:rsid w:val="00A12ACC"/>
    <w:rsid w:val="00A20963"/>
    <w:rsid w:val="00A20EFB"/>
    <w:rsid w:val="00A247E2"/>
    <w:rsid w:val="00A24DAE"/>
    <w:rsid w:val="00A262CA"/>
    <w:rsid w:val="00A26662"/>
    <w:rsid w:val="00A32C78"/>
    <w:rsid w:val="00A3552A"/>
    <w:rsid w:val="00A35D8D"/>
    <w:rsid w:val="00A36154"/>
    <w:rsid w:val="00A43080"/>
    <w:rsid w:val="00A43B8F"/>
    <w:rsid w:val="00A5120C"/>
    <w:rsid w:val="00A53F67"/>
    <w:rsid w:val="00A56BA1"/>
    <w:rsid w:val="00A57991"/>
    <w:rsid w:val="00A579CF"/>
    <w:rsid w:val="00A65FFA"/>
    <w:rsid w:val="00A66246"/>
    <w:rsid w:val="00A677F1"/>
    <w:rsid w:val="00A718E6"/>
    <w:rsid w:val="00A730BF"/>
    <w:rsid w:val="00A7428C"/>
    <w:rsid w:val="00A74971"/>
    <w:rsid w:val="00A74FE3"/>
    <w:rsid w:val="00A77041"/>
    <w:rsid w:val="00A77BD7"/>
    <w:rsid w:val="00A80EF5"/>
    <w:rsid w:val="00A81A9F"/>
    <w:rsid w:val="00A83719"/>
    <w:rsid w:val="00A863E6"/>
    <w:rsid w:val="00A92784"/>
    <w:rsid w:val="00A95789"/>
    <w:rsid w:val="00A9634B"/>
    <w:rsid w:val="00A96B21"/>
    <w:rsid w:val="00A97429"/>
    <w:rsid w:val="00A97804"/>
    <w:rsid w:val="00AA1688"/>
    <w:rsid w:val="00AA28CA"/>
    <w:rsid w:val="00AA31E7"/>
    <w:rsid w:val="00AA47C4"/>
    <w:rsid w:val="00AA5EBA"/>
    <w:rsid w:val="00AA6796"/>
    <w:rsid w:val="00AA7461"/>
    <w:rsid w:val="00AB2233"/>
    <w:rsid w:val="00AB316E"/>
    <w:rsid w:val="00AB4182"/>
    <w:rsid w:val="00AB5FC3"/>
    <w:rsid w:val="00AB7627"/>
    <w:rsid w:val="00AC05DD"/>
    <w:rsid w:val="00AC176B"/>
    <w:rsid w:val="00AC2DB4"/>
    <w:rsid w:val="00AC4969"/>
    <w:rsid w:val="00AC7C78"/>
    <w:rsid w:val="00AD0439"/>
    <w:rsid w:val="00AD0AA4"/>
    <w:rsid w:val="00AD1C91"/>
    <w:rsid w:val="00AD5E60"/>
    <w:rsid w:val="00AD6C58"/>
    <w:rsid w:val="00AD742E"/>
    <w:rsid w:val="00AF030E"/>
    <w:rsid w:val="00AF1FF4"/>
    <w:rsid w:val="00AF69C3"/>
    <w:rsid w:val="00AF6A35"/>
    <w:rsid w:val="00B00741"/>
    <w:rsid w:val="00B012A0"/>
    <w:rsid w:val="00B04A18"/>
    <w:rsid w:val="00B05F53"/>
    <w:rsid w:val="00B062B8"/>
    <w:rsid w:val="00B06C5F"/>
    <w:rsid w:val="00B06DAC"/>
    <w:rsid w:val="00B0758E"/>
    <w:rsid w:val="00B1024B"/>
    <w:rsid w:val="00B107D9"/>
    <w:rsid w:val="00B1198C"/>
    <w:rsid w:val="00B12A16"/>
    <w:rsid w:val="00B144BF"/>
    <w:rsid w:val="00B145EC"/>
    <w:rsid w:val="00B2022F"/>
    <w:rsid w:val="00B220DD"/>
    <w:rsid w:val="00B22E5E"/>
    <w:rsid w:val="00B25B99"/>
    <w:rsid w:val="00B26B68"/>
    <w:rsid w:val="00B26E0E"/>
    <w:rsid w:val="00B30105"/>
    <w:rsid w:val="00B33533"/>
    <w:rsid w:val="00B34A8E"/>
    <w:rsid w:val="00B3784A"/>
    <w:rsid w:val="00B4079D"/>
    <w:rsid w:val="00B41AB3"/>
    <w:rsid w:val="00B459F4"/>
    <w:rsid w:val="00B4717A"/>
    <w:rsid w:val="00B514A2"/>
    <w:rsid w:val="00B54467"/>
    <w:rsid w:val="00B54C1B"/>
    <w:rsid w:val="00B5786E"/>
    <w:rsid w:val="00B57F1E"/>
    <w:rsid w:val="00B60D05"/>
    <w:rsid w:val="00B63F5C"/>
    <w:rsid w:val="00B648BA"/>
    <w:rsid w:val="00B70642"/>
    <w:rsid w:val="00B70896"/>
    <w:rsid w:val="00B715B1"/>
    <w:rsid w:val="00B821A1"/>
    <w:rsid w:val="00B840D8"/>
    <w:rsid w:val="00B862F3"/>
    <w:rsid w:val="00B87F29"/>
    <w:rsid w:val="00B936D5"/>
    <w:rsid w:val="00B94C92"/>
    <w:rsid w:val="00B97D16"/>
    <w:rsid w:val="00BA20A2"/>
    <w:rsid w:val="00BA2D77"/>
    <w:rsid w:val="00BA530A"/>
    <w:rsid w:val="00BB0BBC"/>
    <w:rsid w:val="00BB10B9"/>
    <w:rsid w:val="00BB1C6E"/>
    <w:rsid w:val="00BB2544"/>
    <w:rsid w:val="00BB6505"/>
    <w:rsid w:val="00BB6E79"/>
    <w:rsid w:val="00BC05B2"/>
    <w:rsid w:val="00BC43F0"/>
    <w:rsid w:val="00BC664E"/>
    <w:rsid w:val="00BD1BC7"/>
    <w:rsid w:val="00BD311E"/>
    <w:rsid w:val="00BD3FA3"/>
    <w:rsid w:val="00BD61FB"/>
    <w:rsid w:val="00BD7D98"/>
    <w:rsid w:val="00BE0C25"/>
    <w:rsid w:val="00BE1DCA"/>
    <w:rsid w:val="00BE1F6B"/>
    <w:rsid w:val="00BE3603"/>
    <w:rsid w:val="00BE3DFD"/>
    <w:rsid w:val="00BE4BA3"/>
    <w:rsid w:val="00BE6725"/>
    <w:rsid w:val="00BF2C47"/>
    <w:rsid w:val="00BF6659"/>
    <w:rsid w:val="00BF7489"/>
    <w:rsid w:val="00C003BF"/>
    <w:rsid w:val="00C02AD7"/>
    <w:rsid w:val="00C04F67"/>
    <w:rsid w:val="00C10AAE"/>
    <w:rsid w:val="00C10DFC"/>
    <w:rsid w:val="00C127B6"/>
    <w:rsid w:val="00C13653"/>
    <w:rsid w:val="00C17288"/>
    <w:rsid w:val="00C21DF5"/>
    <w:rsid w:val="00C25ACA"/>
    <w:rsid w:val="00C262F4"/>
    <w:rsid w:val="00C2688C"/>
    <w:rsid w:val="00C27F70"/>
    <w:rsid w:val="00C31104"/>
    <w:rsid w:val="00C31FB5"/>
    <w:rsid w:val="00C32E24"/>
    <w:rsid w:val="00C34398"/>
    <w:rsid w:val="00C343F6"/>
    <w:rsid w:val="00C348BF"/>
    <w:rsid w:val="00C351EA"/>
    <w:rsid w:val="00C356C9"/>
    <w:rsid w:val="00C40F94"/>
    <w:rsid w:val="00C445D6"/>
    <w:rsid w:val="00C45DC4"/>
    <w:rsid w:val="00C46A2D"/>
    <w:rsid w:val="00C53F3F"/>
    <w:rsid w:val="00C556DA"/>
    <w:rsid w:val="00C65155"/>
    <w:rsid w:val="00C65D6C"/>
    <w:rsid w:val="00C67DF8"/>
    <w:rsid w:val="00C67EF4"/>
    <w:rsid w:val="00C711D6"/>
    <w:rsid w:val="00C71703"/>
    <w:rsid w:val="00C71819"/>
    <w:rsid w:val="00C738F0"/>
    <w:rsid w:val="00C74EC6"/>
    <w:rsid w:val="00C76B67"/>
    <w:rsid w:val="00C802F2"/>
    <w:rsid w:val="00C81DEF"/>
    <w:rsid w:val="00C8206E"/>
    <w:rsid w:val="00C838F1"/>
    <w:rsid w:val="00C8638E"/>
    <w:rsid w:val="00C86D6D"/>
    <w:rsid w:val="00C904E5"/>
    <w:rsid w:val="00C92437"/>
    <w:rsid w:val="00C92C19"/>
    <w:rsid w:val="00C9412E"/>
    <w:rsid w:val="00CA02B1"/>
    <w:rsid w:val="00CA1AB6"/>
    <w:rsid w:val="00CA3142"/>
    <w:rsid w:val="00CA360B"/>
    <w:rsid w:val="00CA4B65"/>
    <w:rsid w:val="00CB04EB"/>
    <w:rsid w:val="00CB1339"/>
    <w:rsid w:val="00CB1EAE"/>
    <w:rsid w:val="00CB234B"/>
    <w:rsid w:val="00CB276A"/>
    <w:rsid w:val="00CB4AAA"/>
    <w:rsid w:val="00CB781F"/>
    <w:rsid w:val="00CC1A3F"/>
    <w:rsid w:val="00CC2249"/>
    <w:rsid w:val="00CC6E43"/>
    <w:rsid w:val="00CD0977"/>
    <w:rsid w:val="00CD0C4F"/>
    <w:rsid w:val="00CD219B"/>
    <w:rsid w:val="00CD38FC"/>
    <w:rsid w:val="00CD447E"/>
    <w:rsid w:val="00CD6E71"/>
    <w:rsid w:val="00CD7F6A"/>
    <w:rsid w:val="00CE0099"/>
    <w:rsid w:val="00CE1BE5"/>
    <w:rsid w:val="00CE1CC9"/>
    <w:rsid w:val="00CE1EA7"/>
    <w:rsid w:val="00CE3446"/>
    <w:rsid w:val="00CE614F"/>
    <w:rsid w:val="00CE6F7B"/>
    <w:rsid w:val="00CF0448"/>
    <w:rsid w:val="00CF15CE"/>
    <w:rsid w:val="00CF15D8"/>
    <w:rsid w:val="00CF60A3"/>
    <w:rsid w:val="00CF641E"/>
    <w:rsid w:val="00CF7810"/>
    <w:rsid w:val="00D005CB"/>
    <w:rsid w:val="00D01EDB"/>
    <w:rsid w:val="00D03708"/>
    <w:rsid w:val="00D04309"/>
    <w:rsid w:val="00D061AB"/>
    <w:rsid w:val="00D0665C"/>
    <w:rsid w:val="00D073D9"/>
    <w:rsid w:val="00D11214"/>
    <w:rsid w:val="00D12A14"/>
    <w:rsid w:val="00D14D8A"/>
    <w:rsid w:val="00D151BD"/>
    <w:rsid w:val="00D15299"/>
    <w:rsid w:val="00D25276"/>
    <w:rsid w:val="00D25705"/>
    <w:rsid w:val="00D25AFD"/>
    <w:rsid w:val="00D267A8"/>
    <w:rsid w:val="00D30D59"/>
    <w:rsid w:val="00D32038"/>
    <w:rsid w:val="00D3267F"/>
    <w:rsid w:val="00D335BE"/>
    <w:rsid w:val="00D356CE"/>
    <w:rsid w:val="00D35E4B"/>
    <w:rsid w:val="00D37F62"/>
    <w:rsid w:val="00D42593"/>
    <w:rsid w:val="00D427C5"/>
    <w:rsid w:val="00D547FE"/>
    <w:rsid w:val="00D569B9"/>
    <w:rsid w:val="00D64569"/>
    <w:rsid w:val="00D64797"/>
    <w:rsid w:val="00D64C28"/>
    <w:rsid w:val="00D665C1"/>
    <w:rsid w:val="00D6762D"/>
    <w:rsid w:val="00D72684"/>
    <w:rsid w:val="00D74290"/>
    <w:rsid w:val="00D7720D"/>
    <w:rsid w:val="00D81B14"/>
    <w:rsid w:val="00D824FD"/>
    <w:rsid w:val="00D92775"/>
    <w:rsid w:val="00D929F5"/>
    <w:rsid w:val="00D94BCD"/>
    <w:rsid w:val="00D97783"/>
    <w:rsid w:val="00DA1B27"/>
    <w:rsid w:val="00DA2523"/>
    <w:rsid w:val="00DA2653"/>
    <w:rsid w:val="00DA46FF"/>
    <w:rsid w:val="00DA5D33"/>
    <w:rsid w:val="00DA7116"/>
    <w:rsid w:val="00DB108C"/>
    <w:rsid w:val="00DB215C"/>
    <w:rsid w:val="00DB27E9"/>
    <w:rsid w:val="00DB6027"/>
    <w:rsid w:val="00DB6917"/>
    <w:rsid w:val="00DC12CA"/>
    <w:rsid w:val="00DC1951"/>
    <w:rsid w:val="00DC4645"/>
    <w:rsid w:val="00DC4F71"/>
    <w:rsid w:val="00DD07C5"/>
    <w:rsid w:val="00DD1484"/>
    <w:rsid w:val="00DD1ECD"/>
    <w:rsid w:val="00DD2C08"/>
    <w:rsid w:val="00DD30C0"/>
    <w:rsid w:val="00DD3174"/>
    <w:rsid w:val="00DD4532"/>
    <w:rsid w:val="00DD6618"/>
    <w:rsid w:val="00DE0944"/>
    <w:rsid w:val="00DE0B71"/>
    <w:rsid w:val="00DE180C"/>
    <w:rsid w:val="00DE55B0"/>
    <w:rsid w:val="00DF0853"/>
    <w:rsid w:val="00DF1AD0"/>
    <w:rsid w:val="00DF6050"/>
    <w:rsid w:val="00E0693A"/>
    <w:rsid w:val="00E06C86"/>
    <w:rsid w:val="00E07095"/>
    <w:rsid w:val="00E10ED7"/>
    <w:rsid w:val="00E10F65"/>
    <w:rsid w:val="00E129C5"/>
    <w:rsid w:val="00E1325F"/>
    <w:rsid w:val="00E1556A"/>
    <w:rsid w:val="00E16153"/>
    <w:rsid w:val="00E22552"/>
    <w:rsid w:val="00E23A6E"/>
    <w:rsid w:val="00E23B21"/>
    <w:rsid w:val="00E24613"/>
    <w:rsid w:val="00E24A1D"/>
    <w:rsid w:val="00E25417"/>
    <w:rsid w:val="00E2700F"/>
    <w:rsid w:val="00E27A7F"/>
    <w:rsid w:val="00E3052B"/>
    <w:rsid w:val="00E30AC3"/>
    <w:rsid w:val="00E31F79"/>
    <w:rsid w:val="00E32F8E"/>
    <w:rsid w:val="00E4189B"/>
    <w:rsid w:val="00E423FF"/>
    <w:rsid w:val="00E43A0D"/>
    <w:rsid w:val="00E44983"/>
    <w:rsid w:val="00E449B2"/>
    <w:rsid w:val="00E45D12"/>
    <w:rsid w:val="00E50889"/>
    <w:rsid w:val="00E526BA"/>
    <w:rsid w:val="00E55978"/>
    <w:rsid w:val="00E5632D"/>
    <w:rsid w:val="00E62248"/>
    <w:rsid w:val="00E6609E"/>
    <w:rsid w:val="00E6779D"/>
    <w:rsid w:val="00E71962"/>
    <w:rsid w:val="00E72767"/>
    <w:rsid w:val="00E728B4"/>
    <w:rsid w:val="00E73AEB"/>
    <w:rsid w:val="00E73EA6"/>
    <w:rsid w:val="00E75554"/>
    <w:rsid w:val="00E86E17"/>
    <w:rsid w:val="00E93810"/>
    <w:rsid w:val="00E95470"/>
    <w:rsid w:val="00EA431C"/>
    <w:rsid w:val="00EA697B"/>
    <w:rsid w:val="00EB0B4E"/>
    <w:rsid w:val="00EB10D8"/>
    <w:rsid w:val="00EB2E5F"/>
    <w:rsid w:val="00EB57F0"/>
    <w:rsid w:val="00EB5CBE"/>
    <w:rsid w:val="00EB74C3"/>
    <w:rsid w:val="00EC4013"/>
    <w:rsid w:val="00ED2AA1"/>
    <w:rsid w:val="00ED5733"/>
    <w:rsid w:val="00ED5F2D"/>
    <w:rsid w:val="00ED6043"/>
    <w:rsid w:val="00ED7E68"/>
    <w:rsid w:val="00EE0432"/>
    <w:rsid w:val="00EE0810"/>
    <w:rsid w:val="00EE1EB3"/>
    <w:rsid w:val="00F03A23"/>
    <w:rsid w:val="00F05014"/>
    <w:rsid w:val="00F052AA"/>
    <w:rsid w:val="00F06222"/>
    <w:rsid w:val="00F0693B"/>
    <w:rsid w:val="00F07246"/>
    <w:rsid w:val="00F07FD7"/>
    <w:rsid w:val="00F2043E"/>
    <w:rsid w:val="00F206B2"/>
    <w:rsid w:val="00F22F0C"/>
    <w:rsid w:val="00F25B96"/>
    <w:rsid w:val="00F267A2"/>
    <w:rsid w:val="00F26854"/>
    <w:rsid w:val="00F27A63"/>
    <w:rsid w:val="00F3065E"/>
    <w:rsid w:val="00F373FB"/>
    <w:rsid w:val="00F40022"/>
    <w:rsid w:val="00F403D6"/>
    <w:rsid w:val="00F42066"/>
    <w:rsid w:val="00F425A6"/>
    <w:rsid w:val="00F42E10"/>
    <w:rsid w:val="00F43216"/>
    <w:rsid w:val="00F478A9"/>
    <w:rsid w:val="00F5007A"/>
    <w:rsid w:val="00F5058A"/>
    <w:rsid w:val="00F51E01"/>
    <w:rsid w:val="00F5477E"/>
    <w:rsid w:val="00F55107"/>
    <w:rsid w:val="00F55901"/>
    <w:rsid w:val="00F57FE6"/>
    <w:rsid w:val="00F6275A"/>
    <w:rsid w:val="00F64067"/>
    <w:rsid w:val="00F67B7B"/>
    <w:rsid w:val="00F71183"/>
    <w:rsid w:val="00F7391F"/>
    <w:rsid w:val="00F7479A"/>
    <w:rsid w:val="00F7711E"/>
    <w:rsid w:val="00F82562"/>
    <w:rsid w:val="00F85C33"/>
    <w:rsid w:val="00F86045"/>
    <w:rsid w:val="00F864F6"/>
    <w:rsid w:val="00F90278"/>
    <w:rsid w:val="00F90AF2"/>
    <w:rsid w:val="00F919A7"/>
    <w:rsid w:val="00F92C8B"/>
    <w:rsid w:val="00F957D8"/>
    <w:rsid w:val="00F96A71"/>
    <w:rsid w:val="00F970AF"/>
    <w:rsid w:val="00FA4464"/>
    <w:rsid w:val="00FA470D"/>
    <w:rsid w:val="00FA51E5"/>
    <w:rsid w:val="00FA7855"/>
    <w:rsid w:val="00FB00A7"/>
    <w:rsid w:val="00FB091C"/>
    <w:rsid w:val="00FB6324"/>
    <w:rsid w:val="00FB7B5F"/>
    <w:rsid w:val="00FC41E2"/>
    <w:rsid w:val="00FC6091"/>
    <w:rsid w:val="00FC651F"/>
    <w:rsid w:val="00FC7EC1"/>
    <w:rsid w:val="00FD107F"/>
    <w:rsid w:val="00FD1AE0"/>
    <w:rsid w:val="00FD2E4F"/>
    <w:rsid w:val="00FD317F"/>
    <w:rsid w:val="00FD4233"/>
    <w:rsid w:val="00FE058D"/>
    <w:rsid w:val="00FE38C2"/>
    <w:rsid w:val="00FE3F5E"/>
    <w:rsid w:val="00FE5563"/>
    <w:rsid w:val="00FE57BA"/>
    <w:rsid w:val="00FE59FF"/>
    <w:rsid w:val="00FF0E56"/>
    <w:rsid w:val="00FF3915"/>
    <w:rsid w:val="00FF5D14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90E1E0D"/>
  <w15:chartTrackingRefBased/>
  <w15:docId w15:val="{6794C36B-CE4A-4C0B-8C13-6E7BDFBD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jc w:val="both"/>
      <w:outlineLvl w:val="0"/>
    </w:pPr>
    <w:rPr>
      <w:i/>
      <w:sz w:val="22"/>
      <w:u w:val="single"/>
      <w:lang w:val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D7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851" w:right="340"/>
      <w:jc w:val="both"/>
      <w:outlineLvl w:val="5"/>
    </w:pPr>
    <w:rPr>
      <w:i/>
      <w:sz w:val="20"/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lang w:val="en-GB"/>
    </w:rPr>
  </w:style>
  <w:style w:type="paragraph" w:styleId="CommentText">
    <w:name w:val="annotation text"/>
    <w:basedOn w:val="Normal"/>
    <w:rPr>
      <w:sz w:val="20"/>
    </w:rPr>
  </w:style>
  <w:style w:type="paragraph" w:styleId="DocumentMap">
    <w:name w:val="Document Map"/>
    <w:basedOn w:val="Normal"/>
    <w:pPr>
      <w:shd w:val="clear" w:color="000000" w:fill="00007F"/>
    </w:pPr>
    <w:rPr>
      <w:rFonts w:ascii="Tahoma" w:hAnsi="Tahoma" w:cs="Tahoma"/>
      <w:sz w:val="20"/>
    </w:rPr>
  </w:style>
  <w:style w:type="paragraph" w:styleId="FootnoteText">
    <w:name w:val="footnote text"/>
    <w:basedOn w:val="Normal"/>
    <w:rPr>
      <w:rFonts w:ascii="Times New Roman" w:hAnsi="Times New Roman" w:cs="Times New Roman"/>
      <w:sz w:val="20"/>
      <w:lang w:eastAsia="en-US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  <w:lang w:val="el-GR"/>
    </w:rPr>
  </w:style>
  <w:style w:type="paragraph" w:styleId="CommentSubject">
    <w:name w:val="annotation subject"/>
    <w:basedOn w:val="CommentText"/>
    <w:next w:val="CommentText"/>
    <w:rPr>
      <w:b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szCs w:val="24"/>
      <w:lang w:val="el-G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evision1">
    <w:name w:val="Revision1"/>
    <w:rPr>
      <w:rFonts w:ascii="Arial" w:hAnsi="Arial" w:cs="Arial"/>
      <w:color w:val="000000"/>
      <w:sz w:val="24"/>
      <w:lang w:val="en-AU"/>
    </w:rPr>
  </w:style>
  <w:style w:type="paragraph" w:styleId="EndnoteText">
    <w:name w:val="endnote text"/>
    <w:basedOn w:val="Normal"/>
    <w:rPr>
      <w:sz w:val="20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Pr>
      <w:i/>
      <w:iCs w:val="0"/>
    </w:rPr>
  </w:style>
  <w:style w:type="character" w:customStyle="1" w:styleId="CommentSubjectChar">
    <w:name w:val="Comment Subject Char"/>
    <w:rPr>
      <w:rFonts w:ascii="Arial" w:hAnsi="Arial"/>
      <w:b/>
      <w:bCs w:val="0"/>
      <w:lang w:val="en-AU"/>
    </w:rPr>
  </w:style>
  <w:style w:type="character" w:customStyle="1" w:styleId="bog-bodytext1">
    <w:name w:val="bog-bodytext1"/>
    <w:rPr>
      <w:rFonts w:ascii="Tahoma" w:hAnsi="Tahoma" w:cs="Tahoma"/>
      <w:color w:val="000000"/>
      <w:sz w:val="18"/>
      <w:szCs w:val="18"/>
    </w:rPr>
  </w:style>
  <w:style w:type="character" w:customStyle="1" w:styleId="HeaderChar">
    <w:name w:val="Header Char"/>
    <w:rPr>
      <w:rFonts w:ascii="Arial" w:hAnsi="Arial"/>
      <w:sz w:val="24"/>
      <w:lang w:val="en-AU"/>
    </w:rPr>
  </w:style>
  <w:style w:type="character" w:customStyle="1" w:styleId="BodyTextChar">
    <w:name w:val="Body Text Char"/>
    <w:rPr>
      <w:sz w:val="24"/>
      <w:lang w:val="el-GR" w:eastAsia="el-GR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FootnoteTextChar">
    <w:name w:val="Footnote Text Char"/>
    <w:rPr>
      <w:lang w:eastAsia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/>
    </w:rPr>
  </w:style>
  <w:style w:type="character" w:customStyle="1" w:styleId="bog-bodytext">
    <w:name w:val="bog-bodytext"/>
    <w:basedOn w:val="DefaultParagraphFont"/>
  </w:style>
  <w:style w:type="character" w:styleId="FootnoteReference">
    <w:name w:val="footnote reference"/>
    <w:rPr>
      <w:position w:val="-2"/>
      <w:vertAlign w:val="superscript"/>
    </w:rPr>
  </w:style>
  <w:style w:type="character" w:customStyle="1" w:styleId="CommentTextChar">
    <w:name w:val="Comment Text Char"/>
    <w:rPr>
      <w:rFonts w:ascii="Arial" w:hAnsi="Arial"/>
      <w:lang w:val="en-AU"/>
    </w:rPr>
  </w:style>
  <w:style w:type="character" w:customStyle="1" w:styleId="apple-converted-space">
    <w:name w:val="apple-converted-space"/>
    <w:basedOn w:val="DefaultParagraphFont"/>
  </w:style>
  <w:style w:type="character" w:customStyle="1" w:styleId="EndnoteTextChar">
    <w:name w:val="Endnote Text Char"/>
    <w:rPr>
      <w:rFonts w:ascii="Arial" w:hAnsi="Arial"/>
      <w:lang w:val="en-AU" w:eastAsia="el-GR"/>
    </w:rPr>
  </w:style>
  <w:style w:type="character" w:styleId="EndnoteReference">
    <w:name w:val="endnote reference"/>
    <w:rPr>
      <w:position w:val="-2"/>
      <w:vertAlign w:val="superscript"/>
    </w:rPr>
  </w:style>
  <w:style w:type="table" w:styleId="TableGrid">
    <w:name w:val="Table Grid"/>
    <w:basedOn w:val="TableNormal"/>
    <w:uiPriority w:val="59"/>
    <w:rsid w:val="00C7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711D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66A4F"/>
    <w:rPr>
      <w:color w:val="000000"/>
      <w:sz w:val="24"/>
      <w:lang w:val="en-GB"/>
    </w:rPr>
  </w:style>
  <w:style w:type="character" w:customStyle="1" w:styleId="Heading3Char">
    <w:name w:val="Heading 3 Char"/>
    <w:link w:val="Heading3"/>
    <w:uiPriority w:val="9"/>
    <w:semiHidden/>
    <w:rsid w:val="00104D7C"/>
    <w:rPr>
      <w:rFonts w:ascii="Cambria" w:eastAsia="Times New Roman" w:hAnsi="Cambria" w:cs="Times New Roman"/>
      <w:b/>
      <w:bCs/>
      <w:color w:val="000000"/>
      <w:sz w:val="26"/>
      <w:szCs w:val="26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4D7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104D7C"/>
    <w:rPr>
      <w:rFonts w:ascii="Arial" w:hAnsi="Arial" w:cs="Arial"/>
      <w:color w:val="000000"/>
      <w:sz w:val="24"/>
      <w:lang w:val="en-AU"/>
    </w:rPr>
  </w:style>
  <w:style w:type="paragraph" w:styleId="Revision">
    <w:name w:val="Revision"/>
    <w:hidden/>
    <w:uiPriority w:val="99"/>
    <w:semiHidden/>
    <w:rsid w:val="00871F0B"/>
    <w:rPr>
      <w:rFonts w:ascii="Arial" w:hAnsi="Arial" w:cs="Arial"/>
      <w:color w:val="000000"/>
      <w:sz w:val="24"/>
      <w:lang w:val="en-AU"/>
    </w:rPr>
  </w:style>
  <w:style w:type="character" w:styleId="FollowedHyperlink">
    <w:name w:val="FollowedHyperlink"/>
    <w:uiPriority w:val="99"/>
    <w:semiHidden/>
    <w:unhideWhenUsed/>
    <w:rsid w:val="00EB74C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ankofgreece.gr/statistika/mh-nomismatika-xrhmatopistwtika-idrymata/sygkentrwtikes-logistikes-katastaseis-asfalistikwn-epixeirhsew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ankofgreece.gr/RelatedDocuments/2025_%CE%91%CF%83%CF%86%CE%95%CF%80%CE%B9%CF%87_%CE%97%CE%BC%CE%B5%CF%81%CE%BF%CE%BB%CF%8C%CE%B3%CE%B9%CE%BF_%CE%B4%CE%B7%CE%BC%CE%BF%CF%83%CE%AF%CE%B5%CF%85%CF%83%CE%B7%CF%82.xl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kofgreece.gr/BogDocumentPEE/&#928;&#917;&#917;_94_16_5_2016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kofgreece.gr" TargetMode="External"/><Relationship Id="rId1" Type="http://schemas.openxmlformats.org/officeDocument/2006/relationships/hyperlink" Target="mailto:press@bankofgreec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B134-D75E-451E-B74D-E5A8DB27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925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serv.press@bankofgreece.gr</Manager>
  <Company>Bank of Greece</Company>
  <LinksUpToDate>false</LinksUpToDate>
  <CharactersWithSpaces>5913</CharactersWithSpaces>
  <SharedDoc>false</SharedDoc>
  <HLinks>
    <vt:vector size="30" baseType="variant">
      <vt:variant>
        <vt:i4>2818157</vt:i4>
      </vt:variant>
      <vt:variant>
        <vt:i4>12</vt:i4>
      </vt:variant>
      <vt:variant>
        <vt:i4>0</vt:i4>
      </vt:variant>
      <vt:variant>
        <vt:i4>5</vt:i4>
      </vt:variant>
      <vt:variant>
        <vt:lpwstr>https://www.bankofgreece.gr/statistika/mh-nomismatika-xrhmatopistwtika-idrymata/sygkentrwtikes-logistikes-katastaseis-asfalistikwn-epixeirhsewn</vt:lpwstr>
      </vt:variant>
      <vt:variant>
        <vt:lpwstr/>
      </vt:variant>
      <vt:variant>
        <vt:i4>131188</vt:i4>
      </vt:variant>
      <vt:variant>
        <vt:i4>9</vt:i4>
      </vt:variant>
      <vt:variant>
        <vt:i4>0</vt:i4>
      </vt:variant>
      <vt:variant>
        <vt:i4>5</vt:i4>
      </vt:variant>
      <vt:variant>
        <vt:lpwstr>https://www.bankofgreece.gr/RelatedDocuments/2025_%CE%91%CF%83%CF%86%CE%95%CF%80%CE%B9%CF%87_%CE%97%CE%BC%CE%B5%CF%81%CE%BF%CE%BB%CF%8C%CE%B3%CE%B9%CE%BF_%CE%B4%CE%B7%CE%BC%CE%BF%CF%83%CE%AF%CE%B5%CF%85%CF%83%CE%B7%CF%82.xls</vt:lpwstr>
      </vt:variant>
      <vt:variant>
        <vt:lpwstr/>
      </vt:variant>
      <vt:variant>
        <vt:i4>63832097</vt:i4>
      </vt:variant>
      <vt:variant>
        <vt:i4>6</vt:i4>
      </vt:variant>
      <vt:variant>
        <vt:i4>0</vt:i4>
      </vt:variant>
      <vt:variant>
        <vt:i4>5</vt:i4>
      </vt:variant>
      <vt:variant>
        <vt:lpwstr>http://www.bankofgreece.gr/BogDocumentPEE/ΠΕΕ_94_16_5_2016.pdf</vt:lpwstr>
      </vt:variant>
      <vt:variant>
        <vt:lpwstr/>
      </vt:variant>
      <vt:variant>
        <vt:i4>7667753</vt:i4>
      </vt:variant>
      <vt:variant>
        <vt:i4>3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5898354</vt:i4>
      </vt:variant>
      <vt:variant>
        <vt:i4>0</vt:i4>
      </vt:variant>
      <vt:variant>
        <vt:i4>0</vt:i4>
      </vt:variant>
      <vt:variant>
        <vt:i4>5</vt:i4>
      </vt:variant>
      <vt:variant>
        <vt:lpwstr>mailto:press@bankofgreece.gr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Section</dc:creator>
  <cp:keywords/>
  <cp:lastModifiedBy>MARMAROU, Ioanna</cp:lastModifiedBy>
  <cp:revision>3</cp:revision>
  <cp:lastPrinted>2025-08-26T11:37:00Z</cp:lastPrinted>
  <dcterms:created xsi:type="dcterms:W3CDTF">2025-08-27T06:36:00Z</dcterms:created>
  <dcterms:modified xsi:type="dcterms:W3CDTF">2025-08-27T06:37:00Z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64f240-1db5-4acf-9bde-572066689a31_Enabled">
    <vt:lpwstr>true</vt:lpwstr>
  </property>
  <property fmtid="{D5CDD505-2E9C-101B-9397-08002B2CF9AE}" pid="3" name="MSIP_Label_2e64f240-1db5-4acf-9bde-572066689a31_SetDate">
    <vt:lpwstr>2025-08-27T06:36:55Z</vt:lpwstr>
  </property>
  <property fmtid="{D5CDD505-2E9C-101B-9397-08002B2CF9AE}" pid="4" name="MSIP_Label_2e64f240-1db5-4acf-9bde-572066689a31_Method">
    <vt:lpwstr>Privileged</vt:lpwstr>
  </property>
  <property fmtid="{D5CDD505-2E9C-101B-9397-08002B2CF9AE}" pid="5" name="MSIP_Label_2e64f240-1db5-4acf-9bde-572066689a31_Name">
    <vt:lpwstr>ΧΩΡΙΣ ΧΑΡΑΚΤΗΡΙΣΜΟ ΑΣΦΑΛΕΙΑΣ</vt:lpwstr>
  </property>
  <property fmtid="{D5CDD505-2E9C-101B-9397-08002B2CF9AE}" pid="6" name="MSIP_Label_2e64f240-1db5-4acf-9bde-572066689a31_SiteId">
    <vt:lpwstr>dabae695-3d3b-4e5d-ab49-009605ba5c68</vt:lpwstr>
  </property>
  <property fmtid="{D5CDD505-2E9C-101B-9397-08002B2CF9AE}" pid="7" name="MSIP_Label_2e64f240-1db5-4acf-9bde-572066689a31_ActionId">
    <vt:lpwstr>2006a092-d1f6-4b76-8b10-75b4f3641209</vt:lpwstr>
  </property>
  <property fmtid="{D5CDD505-2E9C-101B-9397-08002B2CF9AE}" pid="8" name="MSIP_Label_2e64f240-1db5-4acf-9bde-572066689a31_ContentBits">
    <vt:lpwstr>0</vt:lpwstr>
  </property>
  <property fmtid="{D5CDD505-2E9C-101B-9397-08002B2CF9AE}" pid="9" name="MSIP_Label_2e64f240-1db5-4acf-9bde-572066689a31_Tag">
    <vt:lpwstr>10, 0, 1, 1</vt:lpwstr>
  </property>
</Properties>
</file>