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7E" w:rsidRPr="00633B60" w:rsidRDefault="0002097E" w:rsidP="0002097E">
      <w:pPr>
        <w:spacing w:line="340" w:lineRule="atLeast"/>
        <w:rPr>
          <w:rFonts w:asciiTheme="minorHAnsi" w:hAnsiTheme="minorHAnsi"/>
          <w:b/>
          <w:u w:val="single"/>
        </w:rPr>
      </w:pPr>
    </w:p>
    <w:p w:rsidR="0002097E" w:rsidRPr="00633B60" w:rsidRDefault="0002097E" w:rsidP="0002097E">
      <w:pPr>
        <w:spacing w:line="340" w:lineRule="atLeast"/>
        <w:rPr>
          <w:rFonts w:asciiTheme="minorHAnsi" w:hAnsiTheme="minorHAnsi"/>
          <w:b/>
          <w:u w:val="single"/>
        </w:rPr>
      </w:pPr>
    </w:p>
    <w:p w:rsidR="0002097E" w:rsidRPr="00633B60" w:rsidRDefault="0002097E" w:rsidP="0002097E">
      <w:pPr>
        <w:spacing w:line="340" w:lineRule="atLeast"/>
        <w:rPr>
          <w:rFonts w:asciiTheme="minorHAnsi" w:hAnsiTheme="minorHAnsi"/>
          <w:b/>
          <w:u w:val="single"/>
        </w:rPr>
      </w:pPr>
    </w:p>
    <w:p w:rsidR="0002097E" w:rsidRPr="00633B60" w:rsidRDefault="0002097E" w:rsidP="0002097E">
      <w:pPr>
        <w:spacing w:line="340" w:lineRule="atLeast"/>
        <w:rPr>
          <w:rFonts w:asciiTheme="minorHAnsi" w:hAnsiTheme="minorHAnsi"/>
          <w:b/>
          <w:u w:val="single"/>
        </w:rPr>
      </w:pPr>
    </w:p>
    <w:p w:rsidR="0002097E" w:rsidRPr="00633B60" w:rsidRDefault="0002097E" w:rsidP="0002097E">
      <w:pPr>
        <w:spacing w:line="340" w:lineRule="atLeast"/>
        <w:jc w:val="center"/>
        <w:rPr>
          <w:rFonts w:asciiTheme="minorHAnsi" w:hAnsiTheme="minorHAnsi"/>
          <w:b/>
          <w:u w:val="single"/>
        </w:rPr>
      </w:pPr>
    </w:p>
    <w:p w:rsidR="0002097E" w:rsidRPr="00C309F9" w:rsidRDefault="0002097E" w:rsidP="0002097E">
      <w:pPr>
        <w:jc w:val="center"/>
        <w:rPr>
          <w:rFonts w:asciiTheme="minorHAnsi" w:hAnsiTheme="minorHAnsi"/>
          <w:b/>
          <w:color w:val="1F497D" w:themeColor="text2"/>
          <w:sz w:val="48"/>
          <w:szCs w:val="48"/>
          <w:u w:val="single"/>
        </w:rPr>
      </w:pPr>
      <w:r w:rsidRPr="00C309F9">
        <w:rPr>
          <w:rFonts w:asciiTheme="minorHAnsi" w:hAnsiTheme="minorHAnsi"/>
          <w:b/>
          <w:color w:val="1F497D" w:themeColor="text2"/>
          <w:sz w:val="48"/>
          <w:szCs w:val="48"/>
          <w:u w:val="single"/>
        </w:rPr>
        <w:t>ΥΠΟΜΝΗΜΑ</w:t>
      </w:r>
    </w:p>
    <w:p w:rsidR="0002097E" w:rsidRPr="00C309F9" w:rsidRDefault="0002097E" w:rsidP="0002097E">
      <w:pPr>
        <w:jc w:val="center"/>
        <w:rPr>
          <w:rFonts w:asciiTheme="minorHAnsi" w:hAnsiTheme="minorHAnsi"/>
          <w:b/>
          <w:color w:val="1F497D" w:themeColor="text2"/>
          <w:sz w:val="48"/>
          <w:szCs w:val="48"/>
        </w:rPr>
      </w:pPr>
    </w:p>
    <w:p w:rsidR="0002097E" w:rsidRPr="00C309F9" w:rsidRDefault="0002097E" w:rsidP="0002097E">
      <w:pPr>
        <w:jc w:val="center"/>
        <w:rPr>
          <w:rFonts w:asciiTheme="minorHAnsi" w:hAnsiTheme="minorHAnsi"/>
          <w:b/>
          <w:color w:val="1F497D" w:themeColor="text2"/>
          <w:sz w:val="48"/>
          <w:szCs w:val="48"/>
        </w:rPr>
      </w:pPr>
      <w:r w:rsidRPr="00C309F9">
        <w:rPr>
          <w:rFonts w:asciiTheme="minorHAnsi" w:hAnsiTheme="minorHAnsi"/>
          <w:b/>
          <w:color w:val="1F497D" w:themeColor="text2"/>
          <w:sz w:val="48"/>
          <w:szCs w:val="48"/>
        </w:rPr>
        <w:t>10 ΣΗΜΕΙΩΝ ΤΗΣ ΕΣΕΕ</w:t>
      </w:r>
    </w:p>
    <w:p w:rsidR="0002097E" w:rsidRPr="00C309F9" w:rsidRDefault="0002097E" w:rsidP="0002097E">
      <w:pPr>
        <w:jc w:val="center"/>
        <w:rPr>
          <w:rFonts w:asciiTheme="minorHAnsi" w:hAnsiTheme="minorHAnsi"/>
          <w:b/>
          <w:color w:val="1F497D" w:themeColor="text2"/>
          <w:sz w:val="48"/>
          <w:szCs w:val="48"/>
        </w:rPr>
      </w:pPr>
    </w:p>
    <w:p w:rsidR="0002097E" w:rsidRDefault="0002097E" w:rsidP="0002097E">
      <w:pPr>
        <w:jc w:val="center"/>
        <w:rPr>
          <w:rFonts w:asciiTheme="minorHAnsi" w:hAnsiTheme="minorHAnsi"/>
          <w:b/>
          <w:color w:val="1F497D" w:themeColor="text2"/>
          <w:sz w:val="48"/>
          <w:szCs w:val="48"/>
        </w:rPr>
      </w:pPr>
      <w:r w:rsidRPr="00C309F9">
        <w:rPr>
          <w:rFonts w:asciiTheme="minorHAnsi" w:hAnsiTheme="minorHAnsi"/>
          <w:b/>
          <w:color w:val="1F497D" w:themeColor="text2"/>
          <w:sz w:val="48"/>
          <w:szCs w:val="48"/>
        </w:rPr>
        <w:t>προς τ</w:t>
      </w:r>
      <w:r w:rsidR="00FC4982">
        <w:rPr>
          <w:rFonts w:asciiTheme="minorHAnsi" w:hAnsiTheme="minorHAnsi"/>
          <w:b/>
          <w:color w:val="1F497D" w:themeColor="text2"/>
          <w:sz w:val="48"/>
          <w:szCs w:val="48"/>
        </w:rPr>
        <w:t>ην</w:t>
      </w:r>
    </w:p>
    <w:p w:rsidR="008A3D72" w:rsidRDefault="00FC4982" w:rsidP="001C244F">
      <w:pPr>
        <w:jc w:val="center"/>
        <w:rPr>
          <w:rFonts w:asciiTheme="minorHAnsi" w:hAnsiTheme="minorHAnsi"/>
          <w:b/>
          <w:color w:val="1F497D" w:themeColor="text2"/>
          <w:sz w:val="48"/>
          <w:szCs w:val="48"/>
          <w:lang w:val="en-US"/>
        </w:rPr>
      </w:pPr>
      <w:r>
        <w:rPr>
          <w:rFonts w:asciiTheme="minorHAnsi" w:hAnsiTheme="minorHAnsi"/>
          <w:b/>
          <w:color w:val="1F497D" w:themeColor="text2"/>
          <w:sz w:val="48"/>
          <w:szCs w:val="48"/>
        </w:rPr>
        <w:t>ΕΛΛΗΝΙΚΗ ΚΥΒΕΡΝΗΣΗ</w:t>
      </w:r>
      <w:r w:rsidR="00B645E7" w:rsidRPr="00B645E7">
        <w:rPr>
          <w:rFonts w:asciiTheme="minorHAnsi" w:hAnsiTheme="minorHAnsi"/>
          <w:b/>
          <w:color w:val="1F497D" w:themeColor="text2"/>
          <w:sz w:val="48"/>
          <w:szCs w:val="48"/>
        </w:rPr>
        <w:t xml:space="preserve"> </w:t>
      </w:r>
    </w:p>
    <w:p w:rsidR="0002097E" w:rsidRPr="00B645E7" w:rsidRDefault="00B645E7" w:rsidP="001C244F">
      <w:pPr>
        <w:jc w:val="center"/>
        <w:rPr>
          <w:rFonts w:asciiTheme="minorHAnsi" w:hAnsiTheme="minorHAnsi"/>
          <w:b/>
          <w:color w:val="1F497D" w:themeColor="text2"/>
          <w:sz w:val="48"/>
          <w:szCs w:val="48"/>
        </w:rPr>
      </w:pPr>
      <w:r>
        <w:rPr>
          <w:rFonts w:asciiTheme="minorHAnsi" w:hAnsiTheme="minorHAnsi"/>
          <w:b/>
          <w:color w:val="1F497D" w:themeColor="text2"/>
          <w:sz w:val="48"/>
          <w:szCs w:val="48"/>
          <w:lang w:val="en-US"/>
        </w:rPr>
        <w:t xml:space="preserve">&amp; </w:t>
      </w:r>
      <w:r>
        <w:rPr>
          <w:rFonts w:asciiTheme="minorHAnsi" w:hAnsiTheme="minorHAnsi"/>
          <w:b/>
          <w:color w:val="1F497D" w:themeColor="text2"/>
          <w:sz w:val="48"/>
          <w:szCs w:val="48"/>
        </w:rPr>
        <w:t>ΤΑ ΚΟΜΜΑΤΑ</w:t>
      </w:r>
    </w:p>
    <w:p w:rsidR="0002097E" w:rsidRPr="007044CD" w:rsidRDefault="0002097E" w:rsidP="0002097E">
      <w:pPr>
        <w:jc w:val="center"/>
        <w:rPr>
          <w:rFonts w:asciiTheme="minorHAnsi" w:hAnsiTheme="minorHAnsi"/>
          <w:b/>
          <w:color w:val="1F497D" w:themeColor="text2"/>
          <w:sz w:val="40"/>
          <w:szCs w:val="40"/>
        </w:rPr>
      </w:pPr>
    </w:p>
    <w:p w:rsidR="0002097E" w:rsidRPr="007044CD" w:rsidRDefault="0002097E" w:rsidP="0002097E">
      <w:pPr>
        <w:jc w:val="center"/>
        <w:rPr>
          <w:rFonts w:asciiTheme="minorHAnsi" w:hAnsiTheme="minorHAnsi"/>
          <w:b/>
          <w:color w:val="1F497D" w:themeColor="text2"/>
          <w:sz w:val="40"/>
          <w:szCs w:val="40"/>
        </w:rPr>
      </w:pPr>
    </w:p>
    <w:p w:rsidR="0002097E" w:rsidRPr="00633B60" w:rsidRDefault="0002097E" w:rsidP="0002097E">
      <w:pPr>
        <w:rPr>
          <w:rFonts w:asciiTheme="minorHAnsi" w:hAnsiTheme="minorHAnsi"/>
          <w:b/>
          <w:color w:val="1F497D" w:themeColor="text2"/>
          <w:sz w:val="40"/>
          <w:szCs w:val="40"/>
        </w:rPr>
      </w:pPr>
    </w:p>
    <w:p w:rsidR="0002097E" w:rsidRPr="00633B60" w:rsidRDefault="0002097E" w:rsidP="0002097E">
      <w:pPr>
        <w:rPr>
          <w:rFonts w:asciiTheme="minorHAnsi" w:hAnsiTheme="minorHAnsi"/>
          <w:b/>
          <w:color w:val="1F497D" w:themeColor="text2"/>
          <w:sz w:val="40"/>
          <w:szCs w:val="40"/>
        </w:rPr>
      </w:pPr>
    </w:p>
    <w:p w:rsidR="0002097E" w:rsidRPr="00633B60" w:rsidRDefault="0002097E" w:rsidP="0002097E">
      <w:pPr>
        <w:rPr>
          <w:rFonts w:asciiTheme="minorHAnsi" w:hAnsiTheme="minorHAnsi"/>
          <w:b/>
          <w:color w:val="1F497D" w:themeColor="text2"/>
          <w:sz w:val="40"/>
          <w:szCs w:val="40"/>
        </w:rPr>
      </w:pPr>
    </w:p>
    <w:p w:rsidR="0002097E" w:rsidRPr="00633B60" w:rsidRDefault="0002097E" w:rsidP="0002097E">
      <w:pPr>
        <w:rPr>
          <w:rFonts w:asciiTheme="minorHAnsi" w:hAnsiTheme="minorHAnsi"/>
          <w:b/>
          <w:color w:val="1F497D" w:themeColor="text2"/>
          <w:sz w:val="40"/>
          <w:szCs w:val="40"/>
        </w:rPr>
      </w:pPr>
    </w:p>
    <w:p w:rsidR="0002097E" w:rsidRPr="00633B60" w:rsidRDefault="0002097E" w:rsidP="0002097E">
      <w:pPr>
        <w:rPr>
          <w:rFonts w:asciiTheme="minorHAnsi" w:hAnsiTheme="minorHAnsi"/>
          <w:b/>
          <w:color w:val="1F497D" w:themeColor="text2"/>
          <w:sz w:val="40"/>
          <w:szCs w:val="40"/>
        </w:rPr>
      </w:pPr>
    </w:p>
    <w:p w:rsidR="0002097E" w:rsidRDefault="0002097E" w:rsidP="0002097E">
      <w:pPr>
        <w:jc w:val="center"/>
        <w:rPr>
          <w:rFonts w:asciiTheme="minorHAnsi" w:hAnsiTheme="minorHAnsi"/>
          <w:b/>
          <w:color w:val="1F497D" w:themeColor="text2"/>
          <w:sz w:val="36"/>
          <w:szCs w:val="36"/>
        </w:rPr>
      </w:pPr>
      <w:r w:rsidRPr="00633B60">
        <w:rPr>
          <w:rFonts w:asciiTheme="minorHAnsi" w:hAnsiTheme="minorHAnsi"/>
          <w:b/>
          <w:color w:val="1F497D" w:themeColor="text2"/>
          <w:sz w:val="36"/>
          <w:szCs w:val="36"/>
        </w:rPr>
        <w:t xml:space="preserve">Αθήνα, </w:t>
      </w:r>
      <w:r>
        <w:rPr>
          <w:rFonts w:asciiTheme="minorHAnsi" w:hAnsiTheme="minorHAnsi"/>
          <w:b/>
          <w:color w:val="1F497D" w:themeColor="text2"/>
          <w:sz w:val="36"/>
          <w:szCs w:val="36"/>
        </w:rPr>
        <w:t>Αύγουστος</w:t>
      </w:r>
      <w:r w:rsidRPr="00633B60">
        <w:rPr>
          <w:rFonts w:asciiTheme="minorHAnsi" w:hAnsiTheme="minorHAnsi"/>
          <w:b/>
          <w:color w:val="1F497D" w:themeColor="text2"/>
          <w:sz w:val="36"/>
          <w:szCs w:val="36"/>
        </w:rPr>
        <w:t xml:space="preserve"> 2014</w:t>
      </w:r>
    </w:p>
    <w:p w:rsidR="00FC4982" w:rsidRDefault="00FC4982" w:rsidP="0002097E">
      <w:pPr>
        <w:jc w:val="center"/>
        <w:rPr>
          <w:rFonts w:asciiTheme="minorHAnsi" w:hAnsiTheme="minorHAnsi"/>
          <w:b/>
          <w:color w:val="1F497D" w:themeColor="text2"/>
          <w:sz w:val="36"/>
          <w:szCs w:val="36"/>
        </w:rPr>
      </w:pPr>
    </w:p>
    <w:p w:rsidR="0002097E" w:rsidRPr="00A24B40" w:rsidRDefault="0002097E" w:rsidP="001C244F">
      <w:pPr>
        <w:spacing w:before="120"/>
        <w:jc w:val="both"/>
        <w:rPr>
          <w:rFonts w:ascii="Cambria" w:hAnsi="Cambria" w:cs="Times New Roman"/>
          <w:b/>
          <w:color w:val="000000" w:themeColor="text1"/>
          <w:sz w:val="30"/>
          <w:szCs w:val="30"/>
        </w:rPr>
      </w:pPr>
      <w:r w:rsidRPr="00A24B40">
        <w:rPr>
          <w:rFonts w:ascii="Cambria" w:hAnsi="Cambria" w:cs="Times New Roman"/>
          <w:b/>
          <w:color w:val="000000" w:themeColor="text1"/>
          <w:sz w:val="30"/>
          <w:szCs w:val="30"/>
        </w:rPr>
        <w:t>ΠΕΡΙΕΧΟΜΕΝΑ ΥΠΟΜΝΗΜΑΤΟΣ</w:t>
      </w:r>
    </w:p>
    <w:p w:rsidR="0002097E" w:rsidRPr="004B1899" w:rsidRDefault="0002097E" w:rsidP="00D95E4E">
      <w:pPr>
        <w:spacing w:line="240" w:lineRule="auto"/>
        <w:jc w:val="center"/>
        <w:rPr>
          <w:rFonts w:asciiTheme="minorHAnsi" w:hAnsiTheme="minorHAnsi"/>
          <w:b/>
          <w:color w:val="1F497D" w:themeColor="text2"/>
          <w:sz w:val="20"/>
          <w:szCs w:val="20"/>
        </w:rPr>
      </w:pPr>
    </w:p>
    <w:p w:rsidR="004B1899" w:rsidRPr="004B1899" w:rsidRDefault="004B1899" w:rsidP="00D95E4E">
      <w:pPr>
        <w:spacing w:line="240" w:lineRule="auto"/>
        <w:jc w:val="center"/>
        <w:rPr>
          <w:rFonts w:asciiTheme="minorHAnsi" w:hAnsiTheme="minorHAnsi"/>
          <w:b/>
          <w:color w:val="1F497D" w:themeColor="text2"/>
          <w:sz w:val="20"/>
          <w:szCs w:val="20"/>
        </w:rPr>
      </w:pPr>
    </w:p>
    <w:p w:rsidR="0002097E" w:rsidRPr="00A24B40" w:rsidRDefault="0002097E" w:rsidP="00A24B40">
      <w:pPr>
        <w:tabs>
          <w:tab w:val="left" w:pos="426"/>
        </w:tabs>
        <w:spacing w:line="240" w:lineRule="auto"/>
        <w:jc w:val="both"/>
        <w:rPr>
          <w:rFonts w:ascii="Cambria" w:hAnsi="Cambria"/>
          <w:sz w:val="24"/>
        </w:rPr>
      </w:pPr>
      <w:r w:rsidRPr="00A24B40">
        <w:rPr>
          <w:rFonts w:ascii="Cambria" w:hAnsi="Cambria"/>
          <w:b/>
        </w:rPr>
        <w:t>Ι.</w:t>
      </w:r>
      <w:r w:rsidRPr="00A24B40">
        <w:rPr>
          <w:rFonts w:ascii="Cambria" w:hAnsi="Cambria"/>
          <w:b/>
        </w:rPr>
        <w:tab/>
      </w:r>
      <w:r w:rsidRPr="00A24B40">
        <w:rPr>
          <w:rFonts w:ascii="Cambria" w:hAnsi="Cambria"/>
          <w:sz w:val="24"/>
        </w:rPr>
        <w:t>ΠΡΟΤΑΣΕΙΣ ΑΝΤΙΜΕΤΩΠΙΣΗΣ</w:t>
      </w:r>
    </w:p>
    <w:p w:rsidR="0002097E" w:rsidRPr="001C244F" w:rsidRDefault="0002097E" w:rsidP="00A24B40">
      <w:pPr>
        <w:tabs>
          <w:tab w:val="left" w:pos="426"/>
        </w:tabs>
        <w:spacing w:line="240" w:lineRule="auto"/>
        <w:jc w:val="both"/>
        <w:rPr>
          <w:rFonts w:ascii="Cambria" w:hAnsi="Cambria"/>
          <w:b/>
          <w:sz w:val="24"/>
        </w:rPr>
      </w:pPr>
      <w:r w:rsidRPr="00A24B40">
        <w:rPr>
          <w:rFonts w:ascii="Cambria" w:hAnsi="Cambria"/>
          <w:sz w:val="24"/>
        </w:rPr>
        <w:tab/>
        <w:t>ΒΑΣΙΚΩΝ ΠΡΟΒΛΗΜΑΤΩΝ ΡΕΥΣΤΟΤΗΤΑΣ</w:t>
      </w:r>
      <w:r w:rsidRPr="00A24B40">
        <w:rPr>
          <w:rFonts w:ascii="Cambria" w:hAnsi="Cambria"/>
          <w:b/>
          <w:sz w:val="24"/>
        </w:rPr>
        <w:tab/>
      </w:r>
      <w:r w:rsidRPr="00A24B40">
        <w:rPr>
          <w:rFonts w:ascii="Cambria" w:hAnsi="Cambria"/>
          <w:b/>
          <w:sz w:val="24"/>
        </w:rPr>
        <w:tab/>
      </w:r>
      <w:r w:rsidRPr="00A24B40">
        <w:rPr>
          <w:rFonts w:ascii="Cambria" w:hAnsi="Cambria"/>
          <w:b/>
          <w:sz w:val="24"/>
        </w:rPr>
        <w:tab/>
      </w:r>
      <w:r w:rsidR="00A24B40" w:rsidRPr="00A24B40">
        <w:rPr>
          <w:rFonts w:ascii="Cambria" w:hAnsi="Cambria"/>
          <w:b/>
          <w:sz w:val="24"/>
        </w:rPr>
        <w:tab/>
      </w:r>
      <w:r w:rsidRPr="00A24B40">
        <w:rPr>
          <w:rFonts w:ascii="Cambria" w:hAnsi="Cambria"/>
          <w:b/>
          <w:sz w:val="24"/>
        </w:rPr>
        <w:t>1</w:t>
      </w:r>
    </w:p>
    <w:p w:rsidR="004B1899" w:rsidRPr="001C244F" w:rsidRDefault="004B1899" w:rsidP="00A24B40">
      <w:pPr>
        <w:tabs>
          <w:tab w:val="left" w:pos="426"/>
        </w:tabs>
        <w:spacing w:line="240" w:lineRule="auto"/>
        <w:jc w:val="both"/>
        <w:rPr>
          <w:rFonts w:ascii="Cambria" w:hAnsi="Cambria"/>
          <w:b/>
          <w:sz w:val="24"/>
        </w:rPr>
      </w:pPr>
    </w:p>
    <w:p w:rsidR="0002097E" w:rsidRPr="00A24B40" w:rsidRDefault="0002097E" w:rsidP="00A24B40">
      <w:pPr>
        <w:spacing w:line="240" w:lineRule="auto"/>
        <w:jc w:val="both"/>
        <w:rPr>
          <w:rFonts w:ascii="Cambria" w:hAnsi="Cambria"/>
          <w:b/>
          <w:sz w:val="24"/>
        </w:rPr>
      </w:pPr>
    </w:p>
    <w:p w:rsidR="0002097E" w:rsidRPr="00A24B40" w:rsidRDefault="0002097E" w:rsidP="00A24B40">
      <w:pPr>
        <w:tabs>
          <w:tab w:val="left" w:pos="426"/>
        </w:tabs>
        <w:spacing w:line="240" w:lineRule="auto"/>
        <w:jc w:val="both"/>
        <w:rPr>
          <w:rFonts w:ascii="Cambria" w:hAnsi="Cambria"/>
          <w:sz w:val="24"/>
        </w:rPr>
      </w:pPr>
      <w:r w:rsidRPr="00A24B40">
        <w:rPr>
          <w:rFonts w:ascii="Cambria" w:hAnsi="Cambria"/>
          <w:b/>
          <w:sz w:val="24"/>
        </w:rPr>
        <w:t>ΙΙ.</w:t>
      </w:r>
      <w:r w:rsidRPr="00A24B40">
        <w:rPr>
          <w:rFonts w:ascii="Cambria" w:hAnsi="Cambria"/>
          <w:b/>
          <w:sz w:val="24"/>
        </w:rPr>
        <w:tab/>
      </w:r>
      <w:r w:rsidRPr="00A24B40">
        <w:rPr>
          <w:rFonts w:ascii="Cambria" w:hAnsi="Cambria"/>
          <w:sz w:val="24"/>
        </w:rPr>
        <w:t>ΝΕΑ ΒΑΣΗ ΜΕΤΡΗΣΗΣ ΤΗΣ ΕΜΠΟΡΙΚΗΣ</w:t>
      </w:r>
    </w:p>
    <w:p w:rsidR="0002097E" w:rsidRPr="001C244F" w:rsidRDefault="0002097E" w:rsidP="00A24B40">
      <w:pPr>
        <w:tabs>
          <w:tab w:val="left" w:pos="426"/>
        </w:tabs>
        <w:spacing w:line="240" w:lineRule="auto"/>
        <w:jc w:val="both"/>
        <w:rPr>
          <w:rFonts w:ascii="Cambria" w:hAnsi="Cambria"/>
          <w:b/>
          <w:sz w:val="24"/>
        </w:rPr>
      </w:pPr>
      <w:r w:rsidRPr="00A24B40">
        <w:rPr>
          <w:rFonts w:ascii="Cambria" w:hAnsi="Cambria"/>
          <w:sz w:val="24"/>
        </w:rPr>
        <w:tab/>
        <w:t>ΠΙΣΤΗΣ ΜΕ ΑΞΙΟΠΟΙΗΣΗ ΤΗΣ ΤΕΙΡΕΣΙΑΣ ΑΕ</w:t>
      </w:r>
      <w:r w:rsidR="00A24B40">
        <w:rPr>
          <w:rFonts w:ascii="Cambria" w:hAnsi="Cambria"/>
          <w:b/>
          <w:sz w:val="24"/>
        </w:rPr>
        <w:tab/>
      </w:r>
      <w:r w:rsidR="00A24B40">
        <w:rPr>
          <w:rFonts w:ascii="Cambria" w:hAnsi="Cambria"/>
          <w:b/>
          <w:sz w:val="24"/>
        </w:rPr>
        <w:tab/>
      </w:r>
      <w:r w:rsidR="00A24B40">
        <w:rPr>
          <w:rFonts w:ascii="Cambria" w:hAnsi="Cambria"/>
          <w:b/>
          <w:sz w:val="24"/>
        </w:rPr>
        <w:tab/>
      </w:r>
      <w:r w:rsidRPr="00A24B40">
        <w:rPr>
          <w:rFonts w:ascii="Cambria" w:hAnsi="Cambria"/>
          <w:b/>
          <w:sz w:val="24"/>
        </w:rPr>
        <w:t>8</w:t>
      </w:r>
    </w:p>
    <w:p w:rsidR="004B1899" w:rsidRPr="001C244F" w:rsidRDefault="004B1899" w:rsidP="00A24B40">
      <w:pPr>
        <w:tabs>
          <w:tab w:val="left" w:pos="426"/>
        </w:tabs>
        <w:spacing w:line="240" w:lineRule="auto"/>
        <w:jc w:val="both"/>
        <w:rPr>
          <w:rFonts w:ascii="Cambria" w:hAnsi="Cambria"/>
          <w:b/>
          <w:sz w:val="24"/>
        </w:rPr>
      </w:pPr>
    </w:p>
    <w:p w:rsidR="0002097E" w:rsidRPr="00A24B40" w:rsidRDefault="0002097E" w:rsidP="00A24B40">
      <w:pPr>
        <w:spacing w:line="240" w:lineRule="auto"/>
        <w:jc w:val="both"/>
        <w:rPr>
          <w:rFonts w:ascii="Cambria" w:hAnsi="Cambria"/>
          <w:b/>
          <w:sz w:val="24"/>
        </w:rPr>
      </w:pPr>
    </w:p>
    <w:p w:rsidR="0002097E" w:rsidRPr="00A24B40" w:rsidRDefault="0002097E" w:rsidP="00A24B40">
      <w:pPr>
        <w:tabs>
          <w:tab w:val="left" w:pos="426"/>
        </w:tabs>
        <w:spacing w:line="240" w:lineRule="auto"/>
        <w:jc w:val="both"/>
        <w:rPr>
          <w:rFonts w:ascii="Cambria" w:hAnsi="Cambria"/>
          <w:sz w:val="24"/>
        </w:rPr>
      </w:pPr>
      <w:r w:rsidRPr="00A24B40">
        <w:rPr>
          <w:rFonts w:ascii="Cambria" w:hAnsi="Cambria"/>
          <w:b/>
          <w:sz w:val="24"/>
        </w:rPr>
        <w:t>ΙΙΙ.</w:t>
      </w:r>
      <w:r w:rsidRPr="00A24B40">
        <w:rPr>
          <w:rFonts w:ascii="Cambria" w:hAnsi="Cambria"/>
          <w:b/>
          <w:sz w:val="24"/>
        </w:rPr>
        <w:tab/>
      </w:r>
      <w:r w:rsidRPr="00A24B40">
        <w:rPr>
          <w:rFonts w:ascii="Cambria" w:hAnsi="Cambria"/>
          <w:sz w:val="24"/>
        </w:rPr>
        <w:t>ΠΡΟΤΑΣΕΙΣ ΡΥΘΜΙΣΗΣ ΕΠΙΧΕΙΡΗΜΑΤΙΚΩΝ</w:t>
      </w:r>
    </w:p>
    <w:p w:rsidR="0002097E" w:rsidRPr="001C244F" w:rsidRDefault="0002097E" w:rsidP="00A24B40">
      <w:pPr>
        <w:tabs>
          <w:tab w:val="left" w:pos="426"/>
        </w:tabs>
        <w:spacing w:line="240" w:lineRule="auto"/>
        <w:jc w:val="both"/>
        <w:rPr>
          <w:rFonts w:ascii="Cambria" w:hAnsi="Cambria"/>
          <w:b/>
          <w:sz w:val="24"/>
        </w:rPr>
      </w:pPr>
      <w:r w:rsidRPr="00A24B40">
        <w:rPr>
          <w:rFonts w:ascii="Cambria" w:hAnsi="Cambria"/>
          <w:sz w:val="24"/>
        </w:rPr>
        <w:tab/>
        <w:t>ΟΦΕΙΛΩΝ, ΕΓΓΥΗΣΕΩΝ ΚΑΙ "ΚΟΚΚΙΝΩΝ" ΔΑΝΕΙΩΝ</w:t>
      </w:r>
      <w:r w:rsidR="00A24B40">
        <w:rPr>
          <w:rFonts w:ascii="Cambria" w:hAnsi="Cambria"/>
          <w:b/>
          <w:sz w:val="24"/>
        </w:rPr>
        <w:tab/>
      </w:r>
      <w:r w:rsidR="00A24B40">
        <w:rPr>
          <w:rFonts w:ascii="Cambria" w:hAnsi="Cambria"/>
          <w:b/>
          <w:sz w:val="24"/>
        </w:rPr>
        <w:tab/>
      </w:r>
      <w:r w:rsidRPr="00A24B40">
        <w:rPr>
          <w:rFonts w:ascii="Cambria" w:hAnsi="Cambria"/>
          <w:b/>
          <w:sz w:val="24"/>
        </w:rPr>
        <w:t>11</w:t>
      </w:r>
    </w:p>
    <w:p w:rsidR="004B1899" w:rsidRPr="001C244F" w:rsidRDefault="004B1899" w:rsidP="00A24B40">
      <w:pPr>
        <w:tabs>
          <w:tab w:val="left" w:pos="426"/>
        </w:tabs>
        <w:spacing w:line="240" w:lineRule="auto"/>
        <w:jc w:val="both"/>
        <w:rPr>
          <w:rFonts w:ascii="Cambria" w:hAnsi="Cambria"/>
          <w:b/>
          <w:sz w:val="24"/>
        </w:rPr>
      </w:pPr>
    </w:p>
    <w:p w:rsidR="0002097E" w:rsidRPr="00A24B40" w:rsidRDefault="0002097E" w:rsidP="00A24B40">
      <w:pPr>
        <w:spacing w:line="240" w:lineRule="auto"/>
        <w:jc w:val="both"/>
        <w:rPr>
          <w:rFonts w:ascii="Cambria" w:hAnsi="Cambria"/>
          <w:b/>
          <w:sz w:val="24"/>
        </w:rPr>
      </w:pPr>
    </w:p>
    <w:p w:rsidR="0002097E" w:rsidRPr="00A24B40" w:rsidRDefault="0002097E" w:rsidP="00A24B40">
      <w:pPr>
        <w:tabs>
          <w:tab w:val="left" w:pos="426"/>
        </w:tabs>
        <w:spacing w:line="240" w:lineRule="auto"/>
        <w:jc w:val="both"/>
        <w:rPr>
          <w:rFonts w:ascii="Cambria" w:hAnsi="Cambria"/>
          <w:sz w:val="24"/>
        </w:rPr>
      </w:pPr>
      <w:r w:rsidRPr="00A24B40">
        <w:rPr>
          <w:rFonts w:ascii="Cambria" w:hAnsi="Cambria"/>
          <w:b/>
          <w:sz w:val="24"/>
        </w:rPr>
        <w:t>IV.</w:t>
      </w:r>
      <w:r w:rsidRPr="00A24B40">
        <w:rPr>
          <w:rFonts w:ascii="Cambria" w:hAnsi="Cambria"/>
          <w:b/>
          <w:sz w:val="24"/>
        </w:rPr>
        <w:tab/>
      </w:r>
      <w:r w:rsidRPr="00A24B40">
        <w:rPr>
          <w:rFonts w:ascii="Cambria" w:hAnsi="Cambria"/>
          <w:sz w:val="24"/>
        </w:rPr>
        <w:t>ΠΡΟΤΑΣΗ ΝΟΜΟΥ ΥΠΑΑΝ ΕΞΩΔΙΚΑΣΤΙΚΗΣ</w:t>
      </w:r>
    </w:p>
    <w:p w:rsidR="0002097E" w:rsidRPr="00A24B40" w:rsidRDefault="0002097E" w:rsidP="00A24B40">
      <w:pPr>
        <w:tabs>
          <w:tab w:val="left" w:pos="426"/>
        </w:tabs>
        <w:spacing w:line="240" w:lineRule="auto"/>
        <w:jc w:val="both"/>
        <w:rPr>
          <w:rFonts w:ascii="Cambria" w:hAnsi="Cambria"/>
          <w:sz w:val="24"/>
        </w:rPr>
      </w:pPr>
      <w:r w:rsidRPr="00A24B40">
        <w:rPr>
          <w:rFonts w:ascii="Cambria" w:hAnsi="Cambria"/>
          <w:sz w:val="24"/>
        </w:rPr>
        <w:tab/>
        <w:t>ΕΠΙΛΥΣΗΣ ΔΙΑΦΟΡΩΝ ΜΕΤΑΞΥ ΠΙΣΤΩΤΩΝ ΚΑΙ</w:t>
      </w:r>
    </w:p>
    <w:p w:rsidR="0002097E" w:rsidRPr="001C244F" w:rsidRDefault="0002097E" w:rsidP="00A24B40">
      <w:pPr>
        <w:tabs>
          <w:tab w:val="left" w:pos="426"/>
        </w:tabs>
        <w:spacing w:line="240" w:lineRule="auto"/>
        <w:jc w:val="both"/>
        <w:rPr>
          <w:rFonts w:ascii="Cambria" w:hAnsi="Cambria"/>
          <w:b/>
          <w:sz w:val="24"/>
        </w:rPr>
      </w:pPr>
      <w:r w:rsidRPr="00A24B40">
        <w:rPr>
          <w:rFonts w:ascii="Cambria" w:hAnsi="Cambria"/>
          <w:sz w:val="24"/>
        </w:rPr>
        <w:tab/>
        <w:t>ΟΦΕΙΛΕΤΩΝ</w:t>
      </w:r>
      <w:r w:rsidR="00A24B40">
        <w:rPr>
          <w:rFonts w:ascii="Cambria" w:hAnsi="Cambria"/>
          <w:b/>
          <w:sz w:val="24"/>
        </w:rPr>
        <w:tab/>
      </w:r>
      <w:r w:rsidR="00A24B40">
        <w:rPr>
          <w:rFonts w:ascii="Cambria" w:hAnsi="Cambria"/>
          <w:b/>
          <w:sz w:val="24"/>
        </w:rPr>
        <w:tab/>
      </w:r>
      <w:r w:rsidR="00A24B40">
        <w:rPr>
          <w:rFonts w:ascii="Cambria" w:hAnsi="Cambria"/>
          <w:b/>
          <w:sz w:val="24"/>
        </w:rPr>
        <w:tab/>
      </w:r>
      <w:r w:rsidR="00A24B40">
        <w:rPr>
          <w:rFonts w:ascii="Cambria" w:hAnsi="Cambria"/>
          <w:b/>
          <w:sz w:val="24"/>
        </w:rPr>
        <w:tab/>
      </w:r>
      <w:r w:rsidR="00A24B40">
        <w:rPr>
          <w:rFonts w:ascii="Cambria" w:hAnsi="Cambria"/>
          <w:b/>
          <w:sz w:val="24"/>
        </w:rPr>
        <w:tab/>
      </w:r>
      <w:r w:rsidR="00A24B40">
        <w:rPr>
          <w:rFonts w:ascii="Cambria" w:hAnsi="Cambria"/>
          <w:b/>
          <w:sz w:val="24"/>
        </w:rPr>
        <w:tab/>
      </w:r>
      <w:r w:rsidR="00A24B40">
        <w:rPr>
          <w:rFonts w:ascii="Cambria" w:hAnsi="Cambria"/>
          <w:b/>
          <w:sz w:val="24"/>
        </w:rPr>
        <w:tab/>
      </w:r>
      <w:r w:rsidR="00A24B40">
        <w:rPr>
          <w:rFonts w:ascii="Cambria" w:hAnsi="Cambria"/>
          <w:b/>
          <w:sz w:val="24"/>
        </w:rPr>
        <w:tab/>
      </w:r>
      <w:r w:rsidRPr="00A24B40">
        <w:rPr>
          <w:rFonts w:ascii="Cambria" w:hAnsi="Cambria"/>
          <w:b/>
          <w:sz w:val="24"/>
        </w:rPr>
        <w:t>14</w:t>
      </w:r>
    </w:p>
    <w:p w:rsidR="004B1899" w:rsidRPr="001C244F" w:rsidRDefault="004B1899" w:rsidP="00A24B40">
      <w:pPr>
        <w:tabs>
          <w:tab w:val="left" w:pos="426"/>
        </w:tabs>
        <w:spacing w:line="240" w:lineRule="auto"/>
        <w:jc w:val="both"/>
        <w:rPr>
          <w:rFonts w:ascii="Cambria" w:hAnsi="Cambria"/>
          <w:b/>
          <w:sz w:val="24"/>
        </w:rPr>
      </w:pPr>
    </w:p>
    <w:p w:rsidR="00D95E4E" w:rsidRPr="00A24B40" w:rsidRDefault="00D95E4E" w:rsidP="00A24B40">
      <w:pPr>
        <w:tabs>
          <w:tab w:val="left" w:pos="426"/>
        </w:tabs>
        <w:spacing w:line="240" w:lineRule="auto"/>
        <w:jc w:val="both"/>
        <w:rPr>
          <w:rFonts w:ascii="Cambria" w:hAnsi="Cambria"/>
          <w:b/>
          <w:sz w:val="24"/>
        </w:rPr>
      </w:pPr>
    </w:p>
    <w:p w:rsidR="0002097E" w:rsidRPr="00A24B40" w:rsidRDefault="0002097E" w:rsidP="00A24B40">
      <w:pPr>
        <w:tabs>
          <w:tab w:val="left" w:pos="426"/>
        </w:tabs>
        <w:spacing w:line="240" w:lineRule="auto"/>
        <w:rPr>
          <w:rFonts w:ascii="Cambria" w:hAnsi="Cambria"/>
          <w:sz w:val="24"/>
        </w:rPr>
      </w:pPr>
      <w:r w:rsidRPr="00A24B40">
        <w:rPr>
          <w:rFonts w:ascii="Cambria" w:hAnsi="Cambria"/>
          <w:b/>
          <w:sz w:val="24"/>
        </w:rPr>
        <w:t>V.</w:t>
      </w:r>
      <w:r w:rsidRPr="00A24B40">
        <w:rPr>
          <w:rFonts w:ascii="Cambria" w:hAnsi="Cambria"/>
          <w:b/>
          <w:sz w:val="24"/>
        </w:rPr>
        <w:tab/>
      </w:r>
      <w:r w:rsidRPr="00A24B40">
        <w:rPr>
          <w:rFonts w:ascii="Cambria" w:hAnsi="Cambria"/>
          <w:sz w:val="24"/>
        </w:rPr>
        <w:t>ΕΞΥΓΙΑΝΣΗ ΠΡΟΒΛΗΜΑΤΙΚΩΝ ΕΠΙΧΕΙΡΗΣΕΩΝ</w:t>
      </w:r>
    </w:p>
    <w:p w:rsidR="0002097E" w:rsidRPr="001C244F" w:rsidRDefault="0002097E" w:rsidP="00A24B40">
      <w:pPr>
        <w:tabs>
          <w:tab w:val="left" w:pos="426"/>
        </w:tabs>
        <w:spacing w:line="240" w:lineRule="auto"/>
        <w:rPr>
          <w:rFonts w:ascii="Cambria" w:hAnsi="Cambria"/>
          <w:b/>
          <w:sz w:val="24"/>
        </w:rPr>
      </w:pPr>
      <w:r w:rsidRPr="00A24B40">
        <w:rPr>
          <w:rFonts w:ascii="Cambria" w:hAnsi="Cambria"/>
          <w:sz w:val="24"/>
        </w:rPr>
        <w:t xml:space="preserve"> </w:t>
      </w:r>
      <w:r w:rsidRPr="00A24B40">
        <w:rPr>
          <w:rFonts w:ascii="Cambria" w:hAnsi="Cambria"/>
          <w:sz w:val="24"/>
        </w:rPr>
        <w:tab/>
        <w:t>ΚΑΙ "ΕΚΤΑΚΤΗ ΔΙΑΔΙΚΑΣΙΑ ΕΙΔΙΚΗΣ ΔΙΑΧΕΙΡΙΣΗΣ"</w:t>
      </w:r>
      <w:r w:rsidRPr="00A24B40">
        <w:rPr>
          <w:rFonts w:ascii="Cambria" w:hAnsi="Cambria"/>
          <w:sz w:val="24"/>
        </w:rPr>
        <w:tab/>
      </w:r>
      <w:r w:rsidRPr="00A24B40">
        <w:rPr>
          <w:rFonts w:ascii="Cambria" w:hAnsi="Cambria"/>
          <w:sz w:val="24"/>
        </w:rPr>
        <w:tab/>
      </w:r>
      <w:r w:rsidR="00A24B40" w:rsidRPr="00A24B40">
        <w:rPr>
          <w:rFonts w:ascii="Cambria" w:hAnsi="Cambria"/>
          <w:sz w:val="24"/>
        </w:rPr>
        <w:tab/>
      </w:r>
      <w:r w:rsidRPr="00A24B40">
        <w:rPr>
          <w:rFonts w:ascii="Cambria" w:hAnsi="Cambria"/>
          <w:b/>
          <w:sz w:val="24"/>
        </w:rPr>
        <w:t>16</w:t>
      </w:r>
    </w:p>
    <w:p w:rsidR="004B1899" w:rsidRPr="001C244F" w:rsidRDefault="004B1899" w:rsidP="00A24B40">
      <w:pPr>
        <w:tabs>
          <w:tab w:val="left" w:pos="426"/>
        </w:tabs>
        <w:spacing w:line="240" w:lineRule="auto"/>
        <w:rPr>
          <w:rFonts w:ascii="Cambria" w:hAnsi="Cambria"/>
          <w:b/>
          <w:sz w:val="24"/>
        </w:rPr>
      </w:pPr>
    </w:p>
    <w:p w:rsidR="0002097E" w:rsidRPr="00A24B40" w:rsidRDefault="0002097E" w:rsidP="00A24B40">
      <w:pPr>
        <w:spacing w:line="240" w:lineRule="auto"/>
        <w:rPr>
          <w:rFonts w:ascii="Cambria" w:hAnsi="Cambria"/>
          <w:b/>
          <w:sz w:val="24"/>
        </w:rPr>
      </w:pPr>
    </w:p>
    <w:p w:rsidR="0002097E" w:rsidRPr="00A24B40" w:rsidRDefault="0002097E" w:rsidP="00A24B40">
      <w:pPr>
        <w:tabs>
          <w:tab w:val="left" w:pos="426"/>
        </w:tabs>
        <w:spacing w:line="240" w:lineRule="auto"/>
        <w:rPr>
          <w:rFonts w:ascii="Cambria" w:hAnsi="Cambria"/>
          <w:sz w:val="24"/>
        </w:rPr>
      </w:pPr>
      <w:r w:rsidRPr="00A24B40">
        <w:rPr>
          <w:rFonts w:ascii="Cambria" w:hAnsi="Cambria"/>
          <w:b/>
          <w:sz w:val="24"/>
        </w:rPr>
        <w:t>VI.</w:t>
      </w:r>
      <w:r w:rsidRPr="00A24B40">
        <w:rPr>
          <w:rFonts w:ascii="Cambria" w:hAnsi="Cambria"/>
          <w:b/>
          <w:sz w:val="24"/>
        </w:rPr>
        <w:tab/>
      </w:r>
      <w:r w:rsidRPr="00A24B40">
        <w:rPr>
          <w:rFonts w:ascii="Cambria" w:hAnsi="Cambria"/>
          <w:sz w:val="24"/>
        </w:rPr>
        <w:t>ΝΟΜΟΘΕΤΙΚΗ ΚΑΤΑΡΓΗΣΗ ΔΙΟΙΚΗΤΙΚΩΝ ΚΑΙ</w:t>
      </w:r>
    </w:p>
    <w:p w:rsidR="0002097E" w:rsidRPr="001C244F" w:rsidRDefault="0002097E" w:rsidP="00A24B40">
      <w:pPr>
        <w:tabs>
          <w:tab w:val="left" w:pos="426"/>
        </w:tabs>
        <w:spacing w:line="240" w:lineRule="auto"/>
        <w:rPr>
          <w:rFonts w:ascii="Cambria" w:hAnsi="Cambria"/>
          <w:b/>
          <w:sz w:val="24"/>
        </w:rPr>
      </w:pPr>
      <w:r w:rsidRPr="00A24B40">
        <w:rPr>
          <w:rFonts w:ascii="Cambria" w:hAnsi="Cambria"/>
          <w:sz w:val="24"/>
        </w:rPr>
        <w:tab/>
        <w:t>ΠΟΙΝΙΚΩΝ ΚΥΡΩΣΕΩΝ ΤΩΝ "ΕΝΤΟΣ ΚΡΙΣΗΣ ΜΜΕ"</w:t>
      </w:r>
      <w:r w:rsidRPr="00A24B40">
        <w:rPr>
          <w:rFonts w:ascii="Cambria" w:hAnsi="Cambria"/>
          <w:b/>
          <w:sz w:val="24"/>
        </w:rPr>
        <w:tab/>
      </w:r>
      <w:r w:rsidRPr="00A24B40">
        <w:rPr>
          <w:rFonts w:ascii="Cambria" w:hAnsi="Cambria"/>
          <w:b/>
          <w:sz w:val="24"/>
        </w:rPr>
        <w:tab/>
      </w:r>
      <w:r w:rsidR="00A24B40" w:rsidRPr="00A24B40">
        <w:rPr>
          <w:rFonts w:ascii="Cambria" w:hAnsi="Cambria"/>
          <w:b/>
          <w:sz w:val="24"/>
        </w:rPr>
        <w:tab/>
      </w:r>
      <w:r w:rsidRPr="00A24B40">
        <w:rPr>
          <w:rFonts w:ascii="Cambria" w:hAnsi="Cambria"/>
          <w:b/>
          <w:sz w:val="24"/>
        </w:rPr>
        <w:t>17</w:t>
      </w:r>
    </w:p>
    <w:p w:rsidR="004B1899" w:rsidRPr="001C244F" w:rsidRDefault="004B1899" w:rsidP="00A24B40">
      <w:pPr>
        <w:tabs>
          <w:tab w:val="left" w:pos="426"/>
        </w:tabs>
        <w:spacing w:line="240" w:lineRule="auto"/>
        <w:rPr>
          <w:rFonts w:ascii="Cambria" w:hAnsi="Cambria"/>
          <w:b/>
          <w:sz w:val="24"/>
        </w:rPr>
      </w:pPr>
    </w:p>
    <w:p w:rsidR="0002097E" w:rsidRPr="00A24B40" w:rsidRDefault="0002097E" w:rsidP="00A24B40">
      <w:pPr>
        <w:spacing w:line="240" w:lineRule="auto"/>
        <w:rPr>
          <w:rFonts w:ascii="Cambria" w:hAnsi="Cambria"/>
          <w:b/>
          <w:sz w:val="24"/>
        </w:rPr>
      </w:pPr>
    </w:p>
    <w:p w:rsidR="0002097E" w:rsidRPr="00A24B40" w:rsidRDefault="0002097E" w:rsidP="00A24B40">
      <w:pPr>
        <w:tabs>
          <w:tab w:val="left" w:pos="426"/>
        </w:tabs>
        <w:spacing w:line="240" w:lineRule="auto"/>
        <w:rPr>
          <w:rFonts w:ascii="Cambria" w:hAnsi="Cambria"/>
          <w:sz w:val="24"/>
        </w:rPr>
      </w:pPr>
      <w:r w:rsidRPr="00A24B40">
        <w:rPr>
          <w:rFonts w:ascii="Cambria" w:hAnsi="Cambria"/>
          <w:b/>
          <w:sz w:val="24"/>
        </w:rPr>
        <w:t>VII.</w:t>
      </w:r>
      <w:r w:rsidRPr="00A24B40">
        <w:rPr>
          <w:rFonts w:ascii="Cambria" w:hAnsi="Cambria"/>
          <w:b/>
          <w:sz w:val="24"/>
        </w:rPr>
        <w:tab/>
      </w:r>
      <w:r w:rsidRPr="00A24B40">
        <w:rPr>
          <w:rFonts w:ascii="Cambria" w:hAnsi="Cambria"/>
          <w:sz w:val="24"/>
        </w:rPr>
        <w:t>ΑΠΟΚΑΤΑΣΤΑΣΗ ΤΩΝ ΑΔΙΚΙΩΝ ΤΗΣ</w:t>
      </w:r>
    </w:p>
    <w:p w:rsidR="0002097E" w:rsidRPr="001C244F" w:rsidRDefault="0002097E" w:rsidP="00A24B40">
      <w:pPr>
        <w:tabs>
          <w:tab w:val="left" w:pos="426"/>
        </w:tabs>
        <w:spacing w:line="240" w:lineRule="auto"/>
        <w:rPr>
          <w:rFonts w:ascii="Cambria" w:hAnsi="Cambria"/>
          <w:b/>
          <w:sz w:val="24"/>
        </w:rPr>
      </w:pPr>
      <w:r w:rsidRPr="00A24B40">
        <w:rPr>
          <w:rFonts w:ascii="Cambria" w:hAnsi="Cambria"/>
          <w:sz w:val="24"/>
        </w:rPr>
        <w:tab/>
        <w:t>ΥΠΕΡΦΟΡΟΛΟΓΗΣΗΣ ΤΩΝ ΜΜΕ</w:t>
      </w:r>
      <w:r w:rsidR="00A24B40">
        <w:rPr>
          <w:rFonts w:ascii="Cambria" w:hAnsi="Cambria"/>
          <w:b/>
          <w:sz w:val="24"/>
        </w:rPr>
        <w:tab/>
      </w:r>
      <w:r w:rsidR="00A24B40">
        <w:rPr>
          <w:rFonts w:ascii="Cambria" w:hAnsi="Cambria"/>
          <w:b/>
          <w:sz w:val="24"/>
        </w:rPr>
        <w:tab/>
      </w:r>
      <w:r w:rsidR="00A24B40">
        <w:rPr>
          <w:rFonts w:ascii="Cambria" w:hAnsi="Cambria"/>
          <w:b/>
          <w:sz w:val="24"/>
        </w:rPr>
        <w:tab/>
      </w:r>
      <w:r w:rsidR="00A24B40">
        <w:rPr>
          <w:rFonts w:ascii="Cambria" w:hAnsi="Cambria"/>
          <w:b/>
          <w:sz w:val="24"/>
        </w:rPr>
        <w:tab/>
      </w:r>
      <w:r w:rsidR="00A24B40">
        <w:rPr>
          <w:rFonts w:ascii="Cambria" w:hAnsi="Cambria"/>
          <w:b/>
          <w:sz w:val="24"/>
        </w:rPr>
        <w:tab/>
      </w:r>
      <w:r w:rsidRPr="00A24B40">
        <w:rPr>
          <w:rFonts w:ascii="Cambria" w:hAnsi="Cambria"/>
          <w:b/>
          <w:sz w:val="24"/>
        </w:rPr>
        <w:t>18</w:t>
      </w:r>
    </w:p>
    <w:p w:rsidR="004B1899" w:rsidRPr="001C244F" w:rsidRDefault="004B1899" w:rsidP="00A24B40">
      <w:pPr>
        <w:tabs>
          <w:tab w:val="left" w:pos="426"/>
        </w:tabs>
        <w:spacing w:line="240" w:lineRule="auto"/>
        <w:rPr>
          <w:rFonts w:ascii="Cambria" w:hAnsi="Cambria"/>
          <w:b/>
          <w:sz w:val="24"/>
        </w:rPr>
      </w:pPr>
    </w:p>
    <w:p w:rsidR="0002097E" w:rsidRPr="00A24B40" w:rsidRDefault="0002097E" w:rsidP="00A24B40">
      <w:pPr>
        <w:spacing w:line="240" w:lineRule="auto"/>
        <w:rPr>
          <w:rFonts w:ascii="Cambria" w:hAnsi="Cambria"/>
          <w:b/>
          <w:sz w:val="24"/>
        </w:rPr>
      </w:pPr>
    </w:p>
    <w:p w:rsidR="0002097E" w:rsidRPr="00A24B40" w:rsidRDefault="0002097E" w:rsidP="00A24B40">
      <w:pPr>
        <w:tabs>
          <w:tab w:val="left" w:pos="567"/>
        </w:tabs>
        <w:spacing w:line="240" w:lineRule="auto"/>
        <w:rPr>
          <w:rFonts w:ascii="Cambria" w:hAnsi="Cambria"/>
          <w:sz w:val="24"/>
        </w:rPr>
      </w:pPr>
      <w:r w:rsidRPr="00A24B40">
        <w:rPr>
          <w:rFonts w:ascii="Cambria" w:hAnsi="Cambria"/>
          <w:b/>
          <w:sz w:val="24"/>
        </w:rPr>
        <w:t>VIII.</w:t>
      </w:r>
      <w:r w:rsidRPr="00A24B40">
        <w:rPr>
          <w:rFonts w:ascii="Cambria" w:hAnsi="Cambria"/>
          <w:sz w:val="24"/>
        </w:rPr>
        <w:t>ΠΡΟΤΑΣΕΙΣ ΣΤΟΧΕΥΜΕΝΩΝ ΦΟΡΟΛΟΓΙΚΩΝ</w:t>
      </w:r>
    </w:p>
    <w:p w:rsidR="0002097E" w:rsidRPr="001C244F" w:rsidRDefault="0002097E" w:rsidP="00A24B40">
      <w:pPr>
        <w:tabs>
          <w:tab w:val="left" w:pos="426"/>
        </w:tabs>
        <w:spacing w:line="240" w:lineRule="auto"/>
        <w:rPr>
          <w:rFonts w:ascii="Cambria" w:hAnsi="Cambria"/>
          <w:b/>
          <w:sz w:val="24"/>
        </w:rPr>
      </w:pPr>
      <w:r w:rsidRPr="00A24B40">
        <w:rPr>
          <w:rFonts w:ascii="Cambria" w:hAnsi="Cambria"/>
          <w:sz w:val="24"/>
        </w:rPr>
        <w:t xml:space="preserve"> </w:t>
      </w:r>
      <w:r w:rsidRPr="00A24B40">
        <w:rPr>
          <w:rFonts w:ascii="Cambria" w:hAnsi="Cambria"/>
          <w:sz w:val="24"/>
        </w:rPr>
        <w:tab/>
        <w:t>ΕΛΑΦΡΥΝΣΕΩΝ</w:t>
      </w:r>
      <w:r w:rsidR="00A24B40">
        <w:rPr>
          <w:rFonts w:ascii="Cambria" w:hAnsi="Cambria"/>
          <w:b/>
          <w:sz w:val="24"/>
        </w:rPr>
        <w:tab/>
      </w:r>
      <w:r w:rsidR="00A24B40">
        <w:rPr>
          <w:rFonts w:ascii="Cambria" w:hAnsi="Cambria"/>
          <w:b/>
          <w:sz w:val="24"/>
        </w:rPr>
        <w:tab/>
      </w:r>
      <w:r w:rsidR="00A24B40">
        <w:rPr>
          <w:rFonts w:ascii="Cambria" w:hAnsi="Cambria"/>
          <w:b/>
          <w:sz w:val="24"/>
        </w:rPr>
        <w:tab/>
      </w:r>
      <w:r w:rsidR="00A24B40">
        <w:rPr>
          <w:rFonts w:ascii="Cambria" w:hAnsi="Cambria"/>
          <w:b/>
          <w:sz w:val="24"/>
        </w:rPr>
        <w:tab/>
      </w:r>
      <w:r w:rsidR="00A24B40">
        <w:rPr>
          <w:rFonts w:ascii="Cambria" w:hAnsi="Cambria"/>
          <w:b/>
          <w:sz w:val="24"/>
        </w:rPr>
        <w:tab/>
      </w:r>
      <w:r w:rsidR="00A24B40">
        <w:rPr>
          <w:rFonts w:ascii="Cambria" w:hAnsi="Cambria"/>
          <w:b/>
          <w:sz w:val="24"/>
        </w:rPr>
        <w:tab/>
      </w:r>
      <w:r w:rsidR="00A24B40">
        <w:rPr>
          <w:rFonts w:ascii="Cambria" w:hAnsi="Cambria"/>
          <w:b/>
          <w:sz w:val="24"/>
        </w:rPr>
        <w:tab/>
      </w:r>
      <w:r w:rsidR="00A24B40" w:rsidRPr="00A24B40">
        <w:rPr>
          <w:rFonts w:ascii="Cambria" w:hAnsi="Cambria"/>
          <w:b/>
          <w:sz w:val="24"/>
        </w:rPr>
        <w:tab/>
      </w:r>
      <w:r w:rsidRPr="00A24B40">
        <w:rPr>
          <w:rFonts w:ascii="Cambria" w:hAnsi="Cambria"/>
          <w:b/>
          <w:sz w:val="24"/>
        </w:rPr>
        <w:t>21</w:t>
      </w:r>
    </w:p>
    <w:p w:rsidR="004B1899" w:rsidRPr="001C244F" w:rsidRDefault="004B1899" w:rsidP="00A24B40">
      <w:pPr>
        <w:tabs>
          <w:tab w:val="left" w:pos="426"/>
        </w:tabs>
        <w:spacing w:line="240" w:lineRule="auto"/>
        <w:rPr>
          <w:rFonts w:ascii="Cambria" w:hAnsi="Cambria"/>
          <w:b/>
          <w:sz w:val="24"/>
        </w:rPr>
      </w:pPr>
    </w:p>
    <w:p w:rsidR="003573F1" w:rsidRPr="00A24B40" w:rsidRDefault="003573F1" w:rsidP="00A24B40">
      <w:pPr>
        <w:tabs>
          <w:tab w:val="left" w:pos="426"/>
        </w:tabs>
        <w:spacing w:line="240" w:lineRule="auto"/>
        <w:rPr>
          <w:rFonts w:ascii="Cambria" w:hAnsi="Cambria"/>
          <w:b/>
          <w:sz w:val="24"/>
        </w:rPr>
      </w:pPr>
    </w:p>
    <w:p w:rsidR="0002097E" w:rsidRPr="00A24B40" w:rsidRDefault="0002097E" w:rsidP="00A24B40">
      <w:pPr>
        <w:tabs>
          <w:tab w:val="left" w:pos="426"/>
        </w:tabs>
        <w:spacing w:line="240" w:lineRule="auto"/>
        <w:rPr>
          <w:rFonts w:ascii="Cambria" w:hAnsi="Cambria"/>
          <w:sz w:val="24"/>
        </w:rPr>
      </w:pPr>
      <w:r w:rsidRPr="00A24B40">
        <w:rPr>
          <w:rFonts w:ascii="Cambria" w:hAnsi="Cambria"/>
          <w:b/>
          <w:sz w:val="24"/>
        </w:rPr>
        <w:t xml:space="preserve"> IX.</w:t>
      </w:r>
      <w:r w:rsidRPr="00A24B40">
        <w:rPr>
          <w:rFonts w:ascii="Cambria" w:hAnsi="Cambria"/>
          <w:sz w:val="24"/>
        </w:rPr>
        <w:t>ΑΠΟΔΟΧΗ ΚΑΙ ΥΛΟΠΟΙΗΣΗ ΠΡΟΤΑΣΗΣ ΕΣΕΕ</w:t>
      </w:r>
    </w:p>
    <w:p w:rsidR="0002097E" w:rsidRPr="001C244F" w:rsidRDefault="0002097E" w:rsidP="00A24B40">
      <w:pPr>
        <w:tabs>
          <w:tab w:val="left" w:pos="426"/>
        </w:tabs>
        <w:spacing w:line="240" w:lineRule="auto"/>
        <w:rPr>
          <w:rFonts w:ascii="Cambria" w:hAnsi="Cambria"/>
          <w:b/>
          <w:sz w:val="24"/>
        </w:rPr>
      </w:pPr>
      <w:r w:rsidRPr="00A24B40">
        <w:rPr>
          <w:rFonts w:ascii="Cambria" w:hAnsi="Cambria"/>
          <w:sz w:val="24"/>
        </w:rPr>
        <w:tab/>
        <w:t>ΓΙΑ ΛΥΣΗ ΣΤΟΝ ΟΑΕΕ</w:t>
      </w:r>
      <w:r w:rsidRPr="00A24B40">
        <w:rPr>
          <w:rFonts w:ascii="Cambria" w:hAnsi="Cambria"/>
          <w:sz w:val="24"/>
        </w:rPr>
        <w:tab/>
      </w:r>
      <w:r w:rsidR="00A24B40">
        <w:rPr>
          <w:rFonts w:ascii="Cambria" w:hAnsi="Cambria"/>
          <w:b/>
          <w:sz w:val="24"/>
        </w:rPr>
        <w:tab/>
      </w:r>
      <w:r w:rsidR="00A24B40">
        <w:rPr>
          <w:rFonts w:ascii="Cambria" w:hAnsi="Cambria"/>
          <w:b/>
          <w:sz w:val="24"/>
        </w:rPr>
        <w:tab/>
      </w:r>
      <w:r w:rsidR="00A24B40">
        <w:rPr>
          <w:rFonts w:ascii="Cambria" w:hAnsi="Cambria"/>
          <w:b/>
          <w:sz w:val="24"/>
        </w:rPr>
        <w:tab/>
      </w:r>
      <w:r w:rsidR="00A24B40">
        <w:rPr>
          <w:rFonts w:ascii="Cambria" w:hAnsi="Cambria"/>
          <w:b/>
          <w:sz w:val="24"/>
        </w:rPr>
        <w:tab/>
      </w:r>
      <w:r w:rsidR="00A24B40" w:rsidRPr="00A24B40">
        <w:rPr>
          <w:rFonts w:ascii="Cambria" w:hAnsi="Cambria"/>
          <w:b/>
          <w:sz w:val="24"/>
        </w:rPr>
        <w:tab/>
      </w:r>
      <w:r w:rsidR="00A24B40" w:rsidRPr="00A24B40">
        <w:rPr>
          <w:rFonts w:ascii="Cambria" w:hAnsi="Cambria"/>
          <w:b/>
          <w:sz w:val="24"/>
        </w:rPr>
        <w:tab/>
      </w:r>
      <w:r w:rsidR="00D95E4E" w:rsidRPr="00A24B40">
        <w:rPr>
          <w:rFonts w:ascii="Cambria" w:hAnsi="Cambria"/>
          <w:b/>
          <w:sz w:val="24"/>
        </w:rPr>
        <w:t>29</w:t>
      </w:r>
    </w:p>
    <w:p w:rsidR="004B1899" w:rsidRPr="001C244F" w:rsidRDefault="004B1899" w:rsidP="00A24B40">
      <w:pPr>
        <w:tabs>
          <w:tab w:val="left" w:pos="426"/>
        </w:tabs>
        <w:spacing w:line="240" w:lineRule="auto"/>
        <w:rPr>
          <w:rFonts w:ascii="Cambria" w:hAnsi="Cambria"/>
          <w:b/>
          <w:sz w:val="24"/>
        </w:rPr>
      </w:pPr>
    </w:p>
    <w:p w:rsidR="0002097E" w:rsidRPr="00A24B40" w:rsidRDefault="0002097E" w:rsidP="00A24B40">
      <w:pPr>
        <w:spacing w:line="240" w:lineRule="auto"/>
        <w:rPr>
          <w:rFonts w:ascii="Cambria" w:hAnsi="Cambria"/>
          <w:b/>
          <w:sz w:val="24"/>
        </w:rPr>
      </w:pPr>
    </w:p>
    <w:p w:rsidR="0002097E" w:rsidRPr="00A24B40" w:rsidRDefault="0002097E" w:rsidP="00A24B40">
      <w:pPr>
        <w:tabs>
          <w:tab w:val="left" w:pos="426"/>
        </w:tabs>
        <w:spacing w:line="240" w:lineRule="auto"/>
        <w:rPr>
          <w:rFonts w:ascii="Cambria" w:hAnsi="Cambria"/>
          <w:sz w:val="24"/>
        </w:rPr>
      </w:pPr>
      <w:r w:rsidRPr="00A24B40">
        <w:rPr>
          <w:rFonts w:ascii="Cambria" w:hAnsi="Cambria"/>
          <w:b/>
          <w:sz w:val="24"/>
        </w:rPr>
        <w:t xml:space="preserve">X. </w:t>
      </w:r>
      <w:r w:rsidRPr="00A24B40">
        <w:rPr>
          <w:rFonts w:ascii="Cambria" w:hAnsi="Cambria"/>
          <w:b/>
          <w:sz w:val="24"/>
        </w:rPr>
        <w:tab/>
      </w:r>
      <w:r w:rsidRPr="00A24B40">
        <w:rPr>
          <w:rFonts w:ascii="Cambria" w:hAnsi="Cambria"/>
          <w:sz w:val="24"/>
        </w:rPr>
        <w:t>ΔΗΜΙΟΥΡΓΙΑ ΚΩΔΙΚΑ ΔΕΟΝΤΟΛΟΓΙΑΣ</w:t>
      </w:r>
    </w:p>
    <w:p w:rsidR="0002097E" w:rsidRPr="00A24B40" w:rsidRDefault="0002097E" w:rsidP="00A24B40">
      <w:pPr>
        <w:tabs>
          <w:tab w:val="left" w:pos="426"/>
        </w:tabs>
        <w:spacing w:line="240" w:lineRule="auto"/>
        <w:rPr>
          <w:rFonts w:ascii="Cambria" w:hAnsi="Cambria"/>
          <w:b/>
          <w:szCs w:val="26"/>
        </w:rPr>
      </w:pPr>
      <w:r w:rsidRPr="00A24B40">
        <w:rPr>
          <w:rFonts w:ascii="Cambria" w:hAnsi="Cambria"/>
          <w:szCs w:val="26"/>
        </w:rPr>
        <w:tab/>
      </w:r>
      <w:r w:rsidRPr="00A24B40">
        <w:rPr>
          <w:rFonts w:ascii="Cambria" w:hAnsi="Cambria"/>
          <w:sz w:val="24"/>
        </w:rPr>
        <w:t>&amp; ΛΕΙΤΟΥΡΓΙΑΣ ΤΗΣ ΑΓΟΡΑΣ</w:t>
      </w:r>
      <w:r w:rsidRPr="00A24B40">
        <w:rPr>
          <w:rFonts w:ascii="Cambria" w:hAnsi="Cambria"/>
          <w:b/>
          <w:sz w:val="24"/>
        </w:rPr>
        <w:tab/>
      </w:r>
      <w:r w:rsidR="00A24B40">
        <w:rPr>
          <w:rFonts w:ascii="Cambria" w:hAnsi="Cambria"/>
          <w:b/>
          <w:szCs w:val="26"/>
        </w:rPr>
        <w:tab/>
      </w:r>
      <w:r w:rsidR="00A24B40">
        <w:rPr>
          <w:rFonts w:ascii="Cambria" w:hAnsi="Cambria"/>
          <w:b/>
          <w:szCs w:val="26"/>
        </w:rPr>
        <w:tab/>
      </w:r>
      <w:r w:rsidR="00A24B40">
        <w:rPr>
          <w:rFonts w:ascii="Cambria" w:hAnsi="Cambria"/>
          <w:b/>
          <w:szCs w:val="26"/>
        </w:rPr>
        <w:tab/>
      </w:r>
      <w:r w:rsidR="00A24B40" w:rsidRPr="00A24B40">
        <w:rPr>
          <w:rFonts w:ascii="Cambria" w:hAnsi="Cambria"/>
          <w:b/>
          <w:szCs w:val="26"/>
        </w:rPr>
        <w:tab/>
      </w:r>
      <w:r w:rsidR="00A24B40" w:rsidRPr="00A24B40">
        <w:rPr>
          <w:rFonts w:ascii="Cambria" w:hAnsi="Cambria"/>
          <w:b/>
          <w:szCs w:val="26"/>
        </w:rPr>
        <w:tab/>
      </w:r>
      <w:r w:rsidRPr="00A24B40">
        <w:rPr>
          <w:rFonts w:ascii="Cambria" w:hAnsi="Cambria"/>
          <w:b/>
          <w:szCs w:val="26"/>
        </w:rPr>
        <w:t>34</w:t>
      </w:r>
    </w:p>
    <w:p w:rsidR="0002097E" w:rsidRDefault="0002097E" w:rsidP="00AD72B9">
      <w:pPr>
        <w:spacing w:before="120"/>
        <w:jc w:val="center"/>
        <w:rPr>
          <w:rFonts w:eastAsia="Times New Roman"/>
          <w:b/>
          <w:u w:val="single"/>
        </w:rPr>
        <w:sectPr w:rsidR="0002097E" w:rsidSect="00581981">
          <w:headerReference w:type="default" r:id="rId7"/>
          <w:footerReference w:type="default" r:id="rId8"/>
          <w:pgSz w:w="11906" w:h="16838"/>
          <w:pgMar w:top="1440" w:right="1701" w:bottom="1440" w:left="1701" w:header="709" w:footer="709" w:gutter="0"/>
          <w:cols w:space="708"/>
          <w:docGrid w:linePitch="360"/>
        </w:sectPr>
      </w:pPr>
    </w:p>
    <w:p w:rsidR="00AD72B9" w:rsidRDefault="009061A6" w:rsidP="00AD72B9">
      <w:pPr>
        <w:spacing w:before="120"/>
        <w:jc w:val="center"/>
        <w:rPr>
          <w:rFonts w:eastAsia="Times New Roman"/>
          <w:b/>
          <w:u w:val="single"/>
        </w:rPr>
      </w:pPr>
      <w:r w:rsidRPr="00E01958">
        <w:rPr>
          <w:rFonts w:eastAsia="Times New Roman"/>
          <w:b/>
          <w:u w:val="single"/>
        </w:rPr>
        <w:lastRenderedPageBreak/>
        <w:t>ΥΠΟΜΝΗΜΑ 10 ΣΗΜΕΙΩΝ ΤΗΣ ΕΣΕΕ ΠΡΟΣ ΤΗ</w:t>
      </w:r>
      <w:r w:rsidR="00FA67D3">
        <w:rPr>
          <w:rFonts w:eastAsia="Times New Roman"/>
          <w:b/>
          <w:u w:val="single"/>
        </w:rPr>
        <w:t>Ν ΕΛΛΗΝΙΚΗ</w:t>
      </w:r>
      <w:r w:rsidRPr="00E01958">
        <w:rPr>
          <w:rFonts w:eastAsia="Times New Roman"/>
          <w:b/>
          <w:u w:val="single"/>
        </w:rPr>
        <w:t xml:space="preserve"> ΚΥΒΕΡΝΗΣΗ</w:t>
      </w:r>
      <w:r w:rsidR="00FA67D3">
        <w:rPr>
          <w:rFonts w:eastAsia="Times New Roman"/>
          <w:b/>
          <w:u w:val="single"/>
        </w:rPr>
        <w:t xml:space="preserve"> ΚΑΙ ΤΗΝ ΑΝΤΙΠΟΛΙΤΕΥΣΗ</w:t>
      </w:r>
      <w:r w:rsidRPr="00E01958">
        <w:rPr>
          <w:rFonts w:eastAsia="Times New Roman"/>
          <w:b/>
          <w:u w:val="single"/>
        </w:rPr>
        <w:t>:</w:t>
      </w:r>
    </w:p>
    <w:p w:rsidR="00DF238F" w:rsidRDefault="00DF238F" w:rsidP="00DF238F">
      <w:pPr>
        <w:spacing w:line="240" w:lineRule="auto"/>
        <w:rPr>
          <w:rFonts w:eastAsia="Times New Roman"/>
          <w:b/>
          <w:u w:val="single"/>
        </w:rPr>
      </w:pPr>
    </w:p>
    <w:p w:rsidR="00631BA7" w:rsidRDefault="009061A6" w:rsidP="00AD72B9">
      <w:pPr>
        <w:spacing w:before="120"/>
        <w:rPr>
          <w:rFonts w:eastAsia="Times New Roman"/>
        </w:rPr>
      </w:pPr>
      <w:r w:rsidRPr="00FA67D3">
        <w:rPr>
          <w:rFonts w:eastAsia="Times New Roman"/>
          <w:b/>
          <w:u w:val="single"/>
        </w:rPr>
        <w:t>Ι. ΠΡΟΤΑΣΕΙΣ ΑΝΤΙΜΕΤΩΠΙΣΗΣ ΒΑΣΙΚΩΝ ΠΡΟΒΛΗΜΑΤΩΝ ΡΕΥΣΤΟΤΗΤΑΣ</w:t>
      </w:r>
      <w:r w:rsidRPr="00FA67D3">
        <w:rPr>
          <w:rFonts w:eastAsia="Times New Roman"/>
          <w:b/>
          <w:u w:val="single"/>
        </w:rPr>
        <w:br/>
      </w:r>
      <w:r>
        <w:rPr>
          <w:rFonts w:eastAsia="Times New Roman"/>
        </w:rPr>
        <w:t>Αποτελεί κοινή ομολογία πως κατά τη διάρκεια της εξαετούς ύφεσης που διανύουμε</w:t>
      </w:r>
      <w:r w:rsidR="00E01958" w:rsidRPr="00E01958">
        <w:rPr>
          <w:rFonts w:eastAsia="Times New Roman"/>
        </w:rPr>
        <w:t>,</w:t>
      </w:r>
      <w:r>
        <w:rPr>
          <w:rFonts w:eastAsia="Times New Roman"/>
        </w:rPr>
        <w:t xml:space="preserve"> ο επιχειρηματικός κόσμος βίωσε μία άνευ προηγουμένου καταστροφική εμπειρία, με αποτέλεσμα να τίθεται σε αμφιβολία η βιωσιμότητα χιλιάδων επιχειρήσεων, κυρίως των μικρομεσαίων, ενώ τα στοιχεία από την Ελληνική Στατιστική Αρχή και από πρωτογενείς έρευνες του Ινστιτούτο</w:t>
      </w:r>
      <w:r w:rsidR="001853FB">
        <w:rPr>
          <w:rFonts w:eastAsia="Times New Roman"/>
        </w:rPr>
        <w:t>υ</w:t>
      </w:r>
      <w:r>
        <w:rPr>
          <w:rFonts w:eastAsia="Times New Roman"/>
        </w:rPr>
        <w:t xml:space="preserve"> Εμπορίου και Υπηρεσιών </w:t>
      </w:r>
      <w:r w:rsidR="00AC1013">
        <w:rPr>
          <w:rFonts w:eastAsia="Times New Roman"/>
        </w:rPr>
        <w:t xml:space="preserve">(ΙΝΕΜΥ) </w:t>
      </w:r>
      <w:r w:rsidR="00DF238F">
        <w:rPr>
          <w:rFonts w:eastAsia="Times New Roman"/>
        </w:rPr>
        <w:t>της Εθνικής Συνομοσπονδίας Ελληνικού Εμπορίου</w:t>
      </w:r>
      <w:r w:rsidR="001853FB">
        <w:rPr>
          <w:rFonts w:eastAsia="Times New Roman"/>
        </w:rPr>
        <w:t xml:space="preserve"> (ΕΣΕΕ), που αφορούν</w:t>
      </w:r>
      <w:r>
        <w:rPr>
          <w:rFonts w:eastAsia="Times New Roman"/>
        </w:rPr>
        <w:t xml:space="preserve"> στη συρρίκνωση του καταγεγραμμένου κύκλου εργασιών και της απασχολησιμότητας στον κλάδο, είναι πλήρως κατατοπιστικά.</w:t>
      </w:r>
      <w:r>
        <w:rPr>
          <w:rFonts w:eastAsia="Times New Roman"/>
        </w:rPr>
        <w:br/>
        <w:t xml:space="preserve">Ενδεικτικά αναφέρεται πως μέσα σε μία εξαετία (ΕΛ.ΣΤΑΤ: Απρίλιος </w:t>
      </w:r>
      <w:r w:rsidR="001853FB">
        <w:rPr>
          <w:rFonts w:eastAsia="Times New Roman"/>
        </w:rPr>
        <w:t>2014/Απρίλιος 2008</w:t>
      </w:r>
      <w:r>
        <w:rPr>
          <w:rFonts w:eastAsia="Times New Roman"/>
        </w:rPr>
        <w:t xml:space="preserve">) ο </w:t>
      </w:r>
      <w:r w:rsidRPr="003373D2">
        <w:rPr>
          <w:rFonts w:eastAsia="Times New Roman"/>
          <w:b/>
        </w:rPr>
        <w:t xml:space="preserve">τζίρος </w:t>
      </w:r>
      <w:r>
        <w:rPr>
          <w:rFonts w:eastAsia="Times New Roman"/>
        </w:rPr>
        <w:t xml:space="preserve">των επιχειρήσεων που δραστηριοποιούνται στο χώρο του εμπορίου καταβαραθρώθηκε  κατά </w:t>
      </w:r>
      <w:r w:rsidRPr="003373D2">
        <w:rPr>
          <w:rFonts w:eastAsia="Times New Roman"/>
          <w:b/>
        </w:rPr>
        <w:t>36,1%</w:t>
      </w:r>
      <w:r>
        <w:rPr>
          <w:rFonts w:eastAsia="Times New Roman"/>
        </w:rPr>
        <w:t xml:space="preserve"> (</w:t>
      </w:r>
      <w:r w:rsidRPr="003373D2">
        <w:rPr>
          <w:rFonts w:eastAsia="Times New Roman"/>
          <w:b/>
        </w:rPr>
        <w:t>40%-50%</w:t>
      </w:r>
      <w:r>
        <w:rPr>
          <w:rFonts w:eastAsia="Times New Roman"/>
        </w:rPr>
        <w:t xml:space="preserve"> σύμφωνα με έρευνες, ενώ για το ίδιο χρονικό διάστημα (2008-2013) περίπου 130.000 εμπορικές μικρομεσαίες επιχειρήσεις (ΜΜΕ) έβαλαν λουκέτο, σε αντίθεση με τον περιορισμένο αριθμό εκείνων που άνοιξαν (45.000), με τη συνολική καθαρή απώλεια να ανέρχεται σε 85.000 επιχειρηματικές μονάδες. Επιπροσθέτως, πρέπει να τονιστεί η κατακόρυφη πτώση του συνολικού αριθμού των </w:t>
      </w:r>
      <w:r w:rsidRPr="003373D2">
        <w:rPr>
          <w:rFonts w:eastAsia="Times New Roman"/>
          <w:b/>
        </w:rPr>
        <w:t>απασχολουμένων</w:t>
      </w:r>
      <w:r>
        <w:rPr>
          <w:rFonts w:eastAsia="Times New Roman"/>
        </w:rPr>
        <w:t xml:space="preserve"> στον κλάδο του εμπορίου (ΕΛ.ΣΤΑΤ: Α΄ Τρίμηνο 2014/Α΄ Τρίμηνο 2008) κατά </w:t>
      </w:r>
      <w:r w:rsidRPr="003373D2">
        <w:rPr>
          <w:rFonts w:eastAsia="Times New Roman"/>
          <w:b/>
        </w:rPr>
        <w:t>25,1%,</w:t>
      </w:r>
      <w:r>
        <w:rPr>
          <w:rFonts w:eastAsia="Times New Roman"/>
        </w:rPr>
        <w:t xml:space="preserve"> με την κατηγορία των </w:t>
      </w:r>
      <w:r w:rsidRPr="003373D2">
        <w:rPr>
          <w:rFonts w:eastAsia="Times New Roman"/>
          <w:b/>
        </w:rPr>
        <w:t>εργοδοτών</w:t>
      </w:r>
      <w:r>
        <w:rPr>
          <w:rFonts w:eastAsia="Times New Roman"/>
        </w:rPr>
        <w:t xml:space="preserve"> να εμφανίζει την μεγαλύτερη υποχώρηση </w:t>
      </w:r>
      <w:r w:rsidRPr="003373D2">
        <w:rPr>
          <w:rFonts w:eastAsia="Times New Roman"/>
          <w:b/>
        </w:rPr>
        <w:t>(-35,8%),</w:t>
      </w:r>
      <w:r>
        <w:rPr>
          <w:rFonts w:eastAsia="Times New Roman"/>
        </w:rPr>
        <w:t xml:space="preserve"> ακολουθούμενη από τις αντίστοιχες των μισθωτών  (-21,8%) και των </w:t>
      </w:r>
      <w:r w:rsidRPr="003373D2">
        <w:rPr>
          <w:rFonts w:eastAsia="Times New Roman"/>
          <w:b/>
        </w:rPr>
        <w:t>αυτοαπασχολουμένων (-21,1%).</w:t>
      </w:r>
      <w:r>
        <w:rPr>
          <w:rFonts w:eastAsia="Times New Roman"/>
        </w:rPr>
        <w:br/>
        <w:t xml:space="preserve">Με βάση τα παραπάνω στοιχεία και με γνώμονα τη δεδομένη βούλησή μας να συνδράμουμε στο σχεδιασμό και στην επιλογή λύσεων που θα βοηθήσουν την μικρομεσαία ελληνική επιχείρηση να επιβιώσει και να αναπτυχθεί, κάτι που ακράδαντα πιστεύουμε ότι είναι επιθυμία και στόχος όλων, παραθέτουμε ομαδοποιημένα τα προβλήματα που αντιμετωπίζουν σήμερα οι μικρομεσαίοι της </w:t>
      </w:r>
      <w:r>
        <w:rPr>
          <w:rFonts w:eastAsia="Times New Roman"/>
        </w:rPr>
        <w:lastRenderedPageBreak/>
        <w:t>αγοράς και διατυπώνουμε τις ενδεδειγμένες, απόλυτα ρεαλιστικές κατά την άποψή μας, λύσεις.</w:t>
      </w:r>
      <w:r>
        <w:rPr>
          <w:rFonts w:eastAsia="Times New Roman"/>
        </w:rPr>
        <w:br/>
        <w:t>Οι διαπιστώσεις που παρατίθενται στη συνέχεια καθώς και οι προτεινόμενες λύσεις στηρίζονται στην επεξεργασία των στοιχείων που έχουν συγκεντρωθεί στο πλαίσιο του Έργου</w:t>
      </w:r>
      <w:r w:rsidR="00631BA7">
        <w:rPr>
          <w:rFonts w:eastAsia="Times New Roman"/>
        </w:rPr>
        <w:t xml:space="preserve"> «Πρόγραμμα Υποστήριξης Μικρών Εμπορικών Ε</w:t>
      </w:r>
      <w:r>
        <w:rPr>
          <w:rFonts w:eastAsia="Times New Roman"/>
        </w:rPr>
        <w:t>πιχειρήσεων», που υλοποιείται από την ΕΣΕΕ με χρηματοδότηση από το ΕΣΠΑ. Η επισήμανση αυτή είναι σημαντική για να γίνει κατανοητό και αμοιβαία αποδεκτό, ότι οι αναφορές αντικατοπτρίζουν την απόλυτη πραγματικότητα που βιώνει σήμερα η μικρομεσαία εμπορική επιχείρηση και αποτελούν τη μοναδική ρεαλιστική βάση, προκειμένου να στηριχθεί ο σχεδιασμός αντιμετώπισης των προβλημάτων και εξόδου από την κρίση.</w:t>
      </w:r>
      <w:r>
        <w:rPr>
          <w:rFonts w:eastAsia="Times New Roman"/>
        </w:rPr>
        <w:br/>
        <w:t>Από την επεξεργασία των έως σήμερα στοιχείων, τα βασικότερα προβλήματα που αντιμετωπίζουν οι επιχειρήσεις σε ποσοστό που υπερβαίνει το 50%, εστιάζονται στον τομέα της χρηματοοικονομικής διαχείρισης και ειδικότερα στις σχέσεις με το Τραπεζικό Σύστημα. Περιγράφοντας το πρόβλημα, εντοπίζουμε ταυτόχρονα τις αιτίες, η αντιμετώπιση των οποίων αποτυπώνει με τη σειρά της τη ρεαλιστική και αποτελεσματική λύση.</w:t>
      </w:r>
      <w:r>
        <w:rPr>
          <w:rFonts w:eastAsia="Times New Roman"/>
        </w:rPr>
        <w:br/>
        <w:t>Αναλυτικότερα:</w:t>
      </w:r>
      <w:r>
        <w:rPr>
          <w:rFonts w:eastAsia="Times New Roman"/>
        </w:rPr>
        <w:br/>
      </w:r>
      <w:r w:rsidRPr="003373D2">
        <w:rPr>
          <w:rFonts w:eastAsia="Times New Roman"/>
          <w:b/>
        </w:rPr>
        <w:t>1.</w:t>
      </w:r>
      <w:r>
        <w:rPr>
          <w:rFonts w:eastAsia="Times New Roman"/>
        </w:rPr>
        <w:t xml:space="preserve"> Θέματα </w:t>
      </w:r>
      <w:r w:rsidRPr="003373D2">
        <w:rPr>
          <w:rFonts w:eastAsia="Times New Roman"/>
          <w:b/>
        </w:rPr>
        <w:t>κάλυψης των καθημερινών αναγκών</w:t>
      </w:r>
      <w:r>
        <w:rPr>
          <w:rFonts w:eastAsia="Times New Roman"/>
        </w:rPr>
        <w:t xml:space="preserve"> της συνήθους λειτουργία</w:t>
      </w:r>
      <w:r w:rsidR="00631BA7">
        <w:rPr>
          <w:rFonts w:eastAsia="Times New Roman"/>
        </w:rPr>
        <w:t>ς των επιχειρήσεων:</w:t>
      </w:r>
    </w:p>
    <w:p w:rsidR="00631BA7" w:rsidRPr="00631BA7" w:rsidRDefault="009061A6" w:rsidP="00631BA7">
      <w:pPr>
        <w:pStyle w:val="a3"/>
        <w:numPr>
          <w:ilvl w:val="0"/>
          <w:numId w:val="1"/>
        </w:numPr>
      </w:pPr>
      <w:r w:rsidRPr="00631BA7">
        <w:rPr>
          <w:rFonts w:eastAsia="Times New Roman"/>
        </w:rPr>
        <w:t>Οι περισσότερες επιχειρήσεις αντιμετώπισαν μία μονομερή, χωρίς προειδοποίηση πολλές φορές, δραστική μείωσ</w:t>
      </w:r>
      <w:r w:rsidR="00631BA7">
        <w:rPr>
          <w:rFonts w:eastAsia="Times New Roman"/>
        </w:rPr>
        <w:t>η των ορίων χρηματοδότησης τους</w:t>
      </w:r>
      <w:r w:rsidR="00686327">
        <w:rPr>
          <w:rFonts w:eastAsia="Times New Roman"/>
        </w:rPr>
        <w:t xml:space="preserve"> εκ μέρους των τ</w:t>
      </w:r>
      <w:r w:rsidRPr="00631BA7">
        <w:rPr>
          <w:rFonts w:eastAsia="Times New Roman"/>
        </w:rPr>
        <w:t>ραπεζών, και μία γενικότερη επιδείνωση των όρων δανεισμού. Οι τράπεζες αντιμετώπισαν το δικό τους πρόβλημα ρευστότητας μειώνοντας τη</w:t>
      </w:r>
      <w:r w:rsidR="00631BA7">
        <w:rPr>
          <w:rFonts w:eastAsia="Times New Roman"/>
        </w:rPr>
        <w:t xml:space="preserve"> ρευστότητα των πελατών τους.</w:t>
      </w:r>
    </w:p>
    <w:p w:rsidR="00631BA7" w:rsidRPr="00631BA7" w:rsidRDefault="009061A6" w:rsidP="00631BA7">
      <w:pPr>
        <w:pStyle w:val="a3"/>
        <w:numPr>
          <w:ilvl w:val="0"/>
          <w:numId w:val="1"/>
        </w:numPr>
      </w:pPr>
      <w:r w:rsidRPr="00631BA7">
        <w:rPr>
          <w:rFonts w:eastAsia="Times New Roman"/>
        </w:rPr>
        <w:t>Η κατάσταση είναι ακόμη δυσκολότερη για τις εμπορικές επιχειρήσεις που έχουν προμηθευτές στο εξωτερικό. Το ελληνικό τραπεζικό σύστημα δεν επέδειξε την απαιτούμενη ικανότητα και ευελιξία στο να καλύψει όχι μόνο τις προκαταβολές που ζητούνται αλλά ούτε τις εγγυήσεις</w:t>
      </w:r>
      <w:r w:rsidR="00631BA7">
        <w:rPr>
          <w:rFonts w:eastAsia="Times New Roman"/>
        </w:rPr>
        <w:t>,</w:t>
      </w:r>
      <w:r w:rsidRPr="00631BA7">
        <w:rPr>
          <w:rFonts w:eastAsia="Times New Roman"/>
        </w:rPr>
        <w:t xml:space="preserve"> προκειμένου να εκτελούνται κανονικά οι παραγγελίες. Λόγω αυτού του </w:t>
      </w:r>
      <w:r w:rsidRPr="00631BA7">
        <w:rPr>
          <w:rFonts w:eastAsia="Times New Roman"/>
        </w:rPr>
        <w:lastRenderedPageBreak/>
        <w:t>προβλήματος διαταράχθηκαν εμπορικές σχέσεις πολλών ετών που είναι πλέον δύσκολο να αποκατασταθούν</w:t>
      </w:r>
      <w:r w:rsidR="00631BA7">
        <w:rPr>
          <w:rFonts w:eastAsia="Times New Roman"/>
        </w:rPr>
        <w:t>.</w:t>
      </w:r>
    </w:p>
    <w:p w:rsidR="00686327" w:rsidRPr="007C681E" w:rsidRDefault="009061A6" w:rsidP="00631BA7">
      <w:pPr>
        <w:pStyle w:val="a3"/>
        <w:numPr>
          <w:ilvl w:val="0"/>
          <w:numId w:val="1"/>
        </w:numPr>
      </w:pPr>
      <w:r w:rsidRPr="00631BA7">
        <w:rPr>
          <w:rFonts w:eastAsia="Times New Roman"/>
        </w:rPr>
        <w:t>Το συναλλακτικό κύκλωμα των ελληνικών επιχειρήσεων, που χρησιμοποιεί μεταχρονολογημένες επιταγές σε μεγάλο βαθμό, δ</w:t>
      </w:r>
      <w:r w:rsidR="00686327">
        <w:rPr>
          <w:rFonts w:eastAsia="Times New Roman"/>
        </w:rPr>
        <w:t>εν είναι εύκολο να προσαρμοστεί</w:t>
      </w:r>
      <w:r w:rsidRPr="00631BA7">
        <w:rPr>
          <w:rFonts w:eastAsia="Times New Roman"/>
        </w:rPr>
        <w:t xml:space="preserve"> με την επιβαλλόμενη ταχύτητα, στη νέα κατάσταση που έχει δημιουργήσει η απόφαση των τραπεζών για δραστική, προληπτική πολλές φορές, μείωση του αριθμού των χορηγούμενων φύλλων επιταγών προς τις επιχειρήσεις - πελάτες τους. Οι τράπεζες, ακόμη αλλάζουν, προς το δυσμενέστερο βεβαίως, τα κριτήρια αξιολόγησης με βάση τα οποία αποδέχονται επιταγές πελατών των δανειοληπτών τους, ως κάλυμμα χορηγούμενης πίστωσης, χωρίς προειδοποίηση. Η ενέργεια αυτή επιβαρύνει τη ρευστότητα των επιχειρήσεων με ανεπανόρθωτες πολλές φορές συνέπειες (σφράγιση επιταγών, καταχώρηση </w:t>
      </w:r>
      <w:r w:rsidR="00686327">
        <w:rPr>
          <w:rFonts w:eastAsia="Times New Roman"/>
        </w:rPr>
        <w:t>στα δυσμενή</w:t>
      </w:r>
      <w:r w:rsidR="00AC1013">
        <w:rPr>
          <w:rFonts w:eastAsia="Times New Roman"/>
        </w:rPr>
        <w:t xml:space="preserve"> στοιχεία</w:t>
      </w:r>
      <w:r w:rsidR="00686327">
        <w:rPr>
          <w:rFonts w:eastAsia="Times New Roman"/>
        </w:rPr>
        <w:t xml:space="preserve"> του ΤΕΙΡΕΣΙΑ κλπ.).</w:t>
      </w:r>
    </w:p>
    <w:p w:rsidR="007C681E" w:rsidRDefault="007C681E" w:rsidP="007C681E">
      <w:pPr>
        <w:rPr>
          <w:rFonts w:cs="Times New Roman"/>
          <w:szCs w:val="26"/>
        </w:rPr>
      </w:pPr>
      <w:r w:rsidRPr="007C681E">
        <w:rPr>
          <w:rFonts w:cs="Times New Roman"/>
          <w:szCs w:val="26"/>
        </w:rPr>
        <w:t xml:space="preserve">Η αποτελεσματικότερη αντιμετώπιση του προβλήματος της χρηματοδότησης των μικρομεσαίων επιχειρήσεων είναι η δημιουργία αναπτυξιακής τράπεζας ειδικά </w:t>
      </w:r>
      <w:r>
        <w:rPr>
          <w:rFonts w:cs="Times New Roman"/>
          <w:szCs w:val="26"/>
        </w:rPr>
        <w:t xml:space="preserve">για αυτές.  </w:t>
      </w:r>
      <w:r w:rsidRPr="007C681E">
        <w:rPr>
          <w:rFonts w:cs="Times New Roman"/>
          <w:szCs w:val="26"/>
        </w:rPr>
        <w:t>Η πρόταση της ΕΣΕΕ είναι η δημιουργία μιας Αναπτυξιακής Τράπεζας Μικρών Επιχειρήσεων (ΑΤΜΕ) ειδικού σκοπού με τραπεζικές εγγυοδοτικές και χρηματοδοτικές δυνατότητες, για τις ΜμΕ. Στην κατεύθυνση αυτή μπορούν να αξιοποιηθούν οι δομές των Συνεταιριστικών Τραπεζών. Βασικός στόχος θα είναι η συγκέντρωση - συγχώνευση όλων των προγραμμάτων ανάπτυξης στην ΑΤΜΕ και η άμεση προώθησή τους με ενιαίο τρόπο καθώς επίσης και η παροχή  μικρό-δανείων, "micro finance"  αποκλειστικά στις μικρομεσαίες επιχειρήσεις. Η νέα Αναπτυξιακή Τράπεζα, μαζί με το Ελληνικό Επενδυτικό Ταμείο ΕΤ/IGG  θα μπορεί να έχει πρωτεύοντα και όχι συμπληρωματικό ρόλο, ενώ παράλληλα θα αναπτύξει ένα δυναμικό - στοχευμένο management, σε σημεία που οι άλλες Τράπεζες δεν μπορούν να προσεγγίσουν, μέσω απλών - τυποποιημένων χρηματοδοτικών προϊόντων για την άμεση ανταπόκριση στο πρόβλημα της ρευστότητας και των εγγυήσεων  της μικρομεσαίας επιχειρηματικότητας.</w:t>
      </w:r>
      <w:r>
        <w:rPr>
          <w:rFonts w:cs="Times New Roman"/>
          <w:szCs w:val="26"/>
        </w:rPr>
        <w:t xml:space="preserve">  </w:t>
      </w:r>
    </w:p>
    <w:p w:rsidR="007C681E" w:rsidRPr="007C681E" w:rsidRDefault="007C681E" w:rsidP="007C681E">
      <w:pPr>
        <w:rPr>
          <w:rFonts w:cs="Times New Roman"/>
          <w:szCs w:val="26"/>
        </w:rPr>
      </w:pPr>
      <w:r>
        <w:rPr>
          <w:rFonts w:cs="Times New Roman"/>
          <w:szCs w:val="26"/>
        </w:rPr>
        <w:lastRenderedPageBreak/>
        <w:t>Φαίνεται ότι η πρότασή μας αυτή αρχίζει να γίνεται αντικείμενο μελέτης από την Πολιτεία, δεδομένης της πρόσφατης απόφασης του Προέδρου του ΕΤΕΑΝ (4-8-2014) για τον μετασχηματισμό του Ταμείου σε αναπτυξιακή τράπεζα.  Ωστόσο, το ΕΤΕΑΝ έχει μία πολύ συγκεκριμένη και χρήσιμη αποστολή και εμείς προτιμούμε την υλοποίηση της πρότασής μας μέσω των δομών των συνεταιριστικών τραπεζών.</w:t>
      </w:r>
    </w:p>
    <w:p w:rsidR="00686327" w:rsidRDefault="009061A6" w:rsidP="007C681E">
      <w:pPr>
        <w:rPr>
          <w:rFonts w:eastAsia="Times New Roman"/>
        </w:rPr>
      </w:pPr>
      <w:r w:rsidRPr="007C681E">
        <w:rPr>
          <w:rFonts w:eastAsia="Times New Roman" w:cs="Times New Roman"/>
          <w:b/>
          <w:szCs w:val="26"/>
        </w:rPr>
        <w:t>2.</w:t>
      </w:r>
      <w:r w:rsidRPr="007C681E">
        <w:rPr>
          <w:rFonts w:eastAsia="Times New Roman" w:cs="Times New Roman"/>
          <w:szCs w:val="26"/>
        </w:rPr>
        <w:t xml:space="preserve"> Θέματα </w:t>
      </w:r>
      <w:r w:rsidRPr="007C681E">
        <w:rPr>
          <w:rFonts w:eastAsia="Times New Roman" w:cs="Times New Roman"/>
          <w:b/>
          <w:szCs w:val="26"/>
        </w:rPr>
        <w:t>υποστήριξης επενδύσεων και αναπτυξιακών ενεργειών</w:t>
      </w:r>
      <w:r w:rsidRPr="00686327">
        <w:rPr>
          <w:rFonts w:eastAsia="Times New Roman"/>
        </w:rPr>
        <w:t xml:space="preserve"> (καινοτομία, εξωστρέφεια κλπ</w:t>
      </w:r>
      <w:r w:rsidR="00686327">
        <w:rPr>
          <w:rFonts w:eastAsia="Times New Roman"/>
        </w:rPr>
        <w:t>.</w:t>
      </w:r>
      <w:r w:rsidRPr="00686327">
        <w:rPr>
          <w:rFonts w:eastAsia="Times New Roman"/>
        </w:rPr>
        <w:t>). Η προφανής αιτία της μειωμένης ρευστότητας λόγω πτώσης του κύκλου εργασιών της επιχείρησης ευθύνεται για ένα μέρος μόνο του προβλήματος. Ση</w:t>
      </w:r>
      <w:r w:rsidR="00686327">
        <w:rPr>
          <w:rFonts w:eastAsia="Times New Roman"/>
        </w:rPr>
        <w:t xml:space="preserve">μαντική ευθύνη έχουν επίσης: </w:t>
      </w:r>
    </w:p>
    <w:p w:rsidR="00686327" w:rsidRPr="00686327" w:rsidRDefault="009061A6" w:rsidP="00686327">
      <w:pPr>
        <w:pStyle w:val="a3"/>
        <w:numPr>
          <w:ilvl w:val="0"/>
          <w:numId w:val="2"/>
        </w:numPr>
      </w:pPr>
      <w:r w:rsidRPr="00686327">
        <w:rPr>
          <w:rFonts w:eastAsia="Times New Roman"/>
        </w:rPr>
        <w:t>Οι έντονα γραφειοκρατικές διαδικασίες και η έλλειψη διάθεσης εκ μέρους των τραπεζών στην υποδοχή αιτημάτων για αξιοποίηση προγραμμάτων, είτε κρατικών/κοινοτικών ενισχ</w:t>
      </w:r>
      <w:r w:rsidR="00686327">
        <w:rPr>
          <w:rFonts w:eastAsia="Times New Roman"/>
        </w:rPr>
        <w:t>ύσεων, είτε των προγραμμάτων του</w:t>
      </w:r>
      <w:r w:rsidRPr="00686327">
        <w:rPr>
          <w:rFonts w:eastAsia="Times New Roman"/>
        </w:rPr>
        <w:t xml:space="preserve"> ΕΤΕΑΝ. Το δίκτυο των τραπεζικών καταστημάτων, στην πλειοψηφία του, δε διαθέτει την αναγκαία γνώση και εμπειρία ώστε να ενημερώνει σωστά, να κατευθύνει τους πελάτες στις κατάλληλες επιλογές και να εξυπηρ</w:t>
      </w:r>
      <w:r w:rsidR="00686327">
        <w:rPr>
          <w:rFonts w:eastAsia="Times New Roman"/>
        </w:rPr>
        <w:t>ετεί με ταχύτητα τα αιτήματα.</w:t>
      </w:r>
    </w:p>
    <w:p w:rsidR="007D484A" w:rsidRPr="007D484A" w:rsidRDefault="009061A6" w:rsidP="00686327">
      <w:pPr>
        <w:pStyle w:val="a3"/>
        <w:numPr>
          <w:ilvl w:val="0"/>
          <w:numId w:val="2"/>
        </w:numPr>
      </w:pPr>
      <w:r w:rsidRPr="00686327">
        <w:rPr>
          <w:rFonts w:eastAsia="Times New Roman"/>
        </w:rPr>
        <w:t>Σημαντική συνιστώσα του αυξημένου διοικητικού κόστους, αποτελεί η έλλειψη μίας ομογενοποιημένης πλατφόρμας αιτήσεων που συμπληρώνονται και υποβάλλονται από τους ενδιαφερομένους στα τραπεζικά ιδρύματα και η απουσία ενός κοινού report που εκδίδουν σε μηνιαία βάση οι ενδιάμεσο</w:t>
      </w:r>
      <w:r w:rsidR="007D484A">
        <w:rPr>
          <w:rFonts w:eastAsia="Times New Roman"/>
        </w:rPr>
        <w:t>ι φορείς διαχείρισης (ΕΤΕΑΝ).</w:t>
      </w:r>
    </w:p>
    <w:p w:rsidR="007D484A" w:rsidRPr="007D484A" w:rsidRDefault="009061A6" w:rsidP="00686327">
      <w:pPr>
        <w:pStyle w:val="a3"/>
        <w:numPr>
          <w:ilvl w:val="0"/>
          <w:numId w:val="2"/>
        </w:numPr>
      </w:pPr>
      <w:r w:rsidRPr="00686327">
        <w:rPr>
          <w:rFonts w:eastAsia="Times New Roman"/>
        </w:rPr>
        <w:t>Οι όροι που τίθενται από τις τράπεζες για την ικανοποίηση αιτημάτων χρηματοδότησης ή παροχής εγγυήσεων είναι υπερβολικά δυσμενείς. Για τη χορήγηση π.χ. μιας εγγυητικής επιστολής, που θα χρησιμοποιηθεί για τη λήψη προκαταβολής επιχορήγησης από εγκεκριμένο πρόγραμμα, ζητείται ως κάλυμμα ισόποση δέσμευση στον λογαριασμό όψεως της επιχείρησης, κάτι που είναι προφανές ότι ακυρώνει εντελώς τη διευκό</w:t>
      </w:r>
      <w:r w:rsidR="007D484A">
        <w:rPr>
          <w:rFonts w:eastAsia="Times New Roman"/>
        </w:rPr>
        <w:t>λυνση λήψης της προκαταβολής.</w:t>
      </w:r>
    </w:p>
    <w:p w:rsidR="007D484A" w:rsidRPr="007D484A" w:rsidRDefault="009061A6" w:rsidP="00686327">
      <w:pPr>
        <w:pStyle w:val="a3"/>
        <w:numPr>
          <w:ilvl w:val="0"/>
          <w:numId w:val="2"/>
        </w:numPr>
      </w:pPr>
      <w:r w:rsidRPr="00686327">
        <w:rPr>
          <w:rFonts w:eastAsia="Times New Roman"/>
        </w:rPr>
        <w:lastRenderedPageBreak/>
        <w:t>Οι τράπεζες για την υποστήριξη των επενδυτικών σχεδίων των επιχειρήσεων, εξακολουθούν σε μεγάλο βαθμό να στηρίζονται στην αξιολόγηση των παρεχομένων εξασφαλίσεων (εμπράγματων και προσωπικών) και όχι στην αξιολόγηση των προοπτικών της επένδυσης και της</w:t>
      </w:r>
      <w:r w:rsidR="007D484A">
        <w:rPr>
          <w:rFonts w:eastAsia="Times New Roman"/>
        </w:rPr>
        <w:t xml:space="preserve"> βιωσιμότητας της επιχείρησης.</w:t>
      </w:r>
    </w:p>
    <w:p w:rsidR="007D484A" w:rsidRDefault="009061A6" w:rsidP="007D484A">
      <w:pPr>
        <w:rPr>
          <w:rFonts w:eastAsia="Times New Roman"/>
        </w:rPr>
      </w:pPr>
      <w:r w:rsidRPr="003373D2">
        <w:rPr>
          <w:rFonts w:eastAsia="Times New Roman"/>
          <w:b/>
        </w:rPr>
        <w:t>3.</w:t>
      </w:r>
      <w:r w:rsidRPr="007D484A">
        <w:rPr>
          <w:rFonts w:eastAsia="Times New Roman"/>
        </w:rPr>
        <w:t xml:space="preserve"> Το μεγάλο θέμα των ρυθμί</w:t>
      </w:r>
      <w:r w:rsidR="007D484A">
        <w:rPr>
          <w:rFonts w:eastAsia="Times New Roman"/>
        </w:rPr>
        <w:t xml:space="preserve">σεων των </w:t>
      </w:r>
      <w:r w:rsidR="007D484A" w:rsidRPr="003373D2">
        <w:rPr>
          <w:rFonts w:eastAsia="Times New Roman"/>
          <w:b/>
        </w:rPr>
        <w:t>καθυστερημένων οφειλών</w:t>
      </w:r>
      <w:r w:rsidR="007D484A">
        <w:rPr>
          <w:rFonts w:eastAsia="Times New Roman"/>
        </w:rPr>
        <w:t>:</w:t>
      </w:r>
    </w:p>
    <w:p w:rsidR="007D484A" w:rsidRPr="007D484A" w:rsidRDefault="009061A6" w:rsidP="007D484A">
      <w:pPr>
        <w:pStyle w:val="a3"/>
        <w:numPr>
          <w:ilvl w:val="0"/>
          <w:numId w:val="3"/>
        </w:numPr>
      </w:pPr>
      <w:r w:rsidRPr="007D484A">
        <w:rPr>
          <w:rFonts w:eastAsia="Times New Roman"/>
        </w:rPr>
        <w:t>Οι επιχειρήσεις, που οφείλουν και βρίσκονται σε αδυναμία εξυπηρέτησης των υποχρεώσεών τους, αντιμετωπίζονται περίπου ως «εχθροί» από τις τράπεζες. Ζητείται από τον δανειολήπτη να είναι «συνεργάσιμος» - και αυτό είναι σωστό – αλλά τις περισσότερες φορές οι ίδιες οι τράπεζες δεν είναι συνεργάσιμες. Έχει καταγραφεί μεγάλος αριθμός περιπτώσεων, που, ενώ ο πελάτης υποβάλλει αίτημα ρύθμι</w:t>
      </w:r>
      <w:r w:rsidR="007D484A">
        <w:rPr>
          <w:rFonts w:eastAsia="Times New Roman"/>
        </w:rPr>
        <w:t>σης εγγράφως στην τράπεζά του, είτε</w:t>
      </w:r>
      <w:r w:rsidRPr="007D484A">
        <w:rPr>
          <w:rFonts w:eastAsia="Times New Roman"/>
        </w:rPr>
        <w:t xml:space="preserve"> δεν παίρνει ποτέ απάντηση, είτε η τράπεζα, μέσω εισπρακτικών εταιριών και δικηγορικών γραφείων, συνεχίζει τις ενέργειες αναγκαστικής είσπραξης, είτε </w:t>
      </w:r>
      <w:r w:rsidR="007D484A">
        <w:rPr>
          <w:rFonts w:eastAsia="Times New Roman"/>
        </w:rPr>
        <w:t>-</w:t>
      </w:r>
      <w:r w:rsidRPr="007D484A">
        <w:rPr>
          <w:rFonts w:eastAsia="Times New Roman"/>
        </w:rPr>
        <w:t>στην καλύτερη περίπτωση</w:t>
      </w:r>
      <w:r w:rsidR="007D484A">
        <w:rPr>
          <w:rFonts w:eastAsia="Times New Roman"/>
        </w:rPr>
        <w:t>-</w:t>
      </w:r>
      <w:r w:rsidRPr="007D484A">
        <w:rPr>
          <w:rFonts w:eastAsia="Times New Roman"/>
        </w:rPr>
        <w:t xml:space="preserve"> λαμβάνει μία απόφαση ρύθμισης που καταφανώς δεν μπορεί να εξυπηρετηθεί από τον πελάτη. Το αποτέλεσμα σε όλες τις περιπτώσεις είναι η οφειλή να προσαυξάνεται με δυσβάστακτα επιπλέον βάρη (τόκους υπερημερίας, δικαστικά και άλλα έξοδα) και η επιχείρησ</w:t>
      </w:r>
      <w:r w:rsidR="007D484A">
        <w:rPr>
          <w:rFonts w:eastAsia="Times New Roman"/>
        </w:rPr>
        <w:t>η να οδηγείται στη χρεωκοπία.</w:t>
      </w:r>
    </w:p>
    <w:p w:rsidR="007D484A" w:rsidRPr="007D484A" w:rsidRDefault="009061A6" w:rsidP="007D484A">
      <w:pPr>
        <w:pStyle w:val="a3"/>
        <w:numPr>
          <w:ilvl w:val="0"/>
          <w:numId w:val="3"/>
        </w:numPr>
      </w:pPr>
      <w:r w:rsidRPr="007D484A">
        <w:rPr>
          <w:rFonts w:eastAsia="Times New Roman"/>
        </w:rPr>
        <w:t xml:space="preserve">Αποτελεί αδήριτη ανάγκη η θέσπιση ενός πλαισίου προστασίας των </w:t>
      </w:r>
      <w:r w:rsidR="007D484A">
        <w:rPr>
          <w:rFonts w:eastAsia="Times New Roman"/>
        </w:rPr>
        <w:t>«εντός της κρίσεως μικρομεσαίων</w:t>
      </w:r>
      <w:r w:rsidRPr="007D484A">
        <w:rPr>
          <w:rFonts w:eastAsia="Times New Roman"/>
        </w:rPr>
        <w:t xml:space="preserve"> επιχειρήσεων», στο οποίο θα εντάσσονται εκείνοι οι επιχειρηματίες, οι οποίοι  εξαιτίας των δυσμενών συνεπειών της οικονομικής κρίσης που άρχισαν να γίνονται απτές το 2009, δηλώνουν αδυναμία ανταπόκρισης στις ληξιπρόθεσμες και τρέχουσες υποχρεώσεις τους. Το προτεινόμενο πλαίσιο οφείλει να διακρίνεται από μεγαλύτερη ελαστικότητα και από τη θέσπιση  ηπιότερων όρων  μεταχείρισης των εντασσόμενων σε αυτό, από την πλευρά </w:t>
      </w:r>
      <w:r w:rsidR="007D484A">
        <w:rPr>
          <w:rFonts w:eastAsia="Times New Roman"/>
        </w:rPr>
        <w:t>των χρηματοπιστωτικών ιδρυμάτων.</w:t>
      </w:r>
    </w:p>
    <w:p w:rsidR="007D484A" w:rsidRPr="007D484A" w:rsidRDefault="009061A6" w:rsidP="007D484A">
      <w:pPr>
        <w:pStyle w:val="a3"/>
        <w:numPr>
          <w:ilvl w:val="0"/>
          <w:numId w:val="3"/>
        </w:numPr>
      </w:pPr>
      <w:r w:rsidRPr="007D484A">
        <w:rPr>
          <w:rFonts w:eastAsia="Times New Roman"/>
        </w:rPr>
        <w:t xml:space="preserve">Οι περισσότερες επιχειρήσεις οφείλουν σε περισσότερες από μία τράπεζες ενώ ταυτόχρονα έχουν υποχρεώσεις προς το Δημόσιο, τα Ασφαλιστικά </w:t>
      </w:r>
      <w:r w:rsidRPr="007D484A">
        <w:rPr>
          <w:rFonts w:eastAsia="Times New Roman"/>
        </w:rPr>
        <w:lastRenderedPageBreak/>
        <w:t>τους Ταμεία και τους προμηθευτές τους. Επειδή τα αιτήματα ρύθμισης, όταν αυτά εξετάζονται, αντιμετωπίζονται από την κάθε τράπεζα χωριστά</w:t>
      </w:r>
      <w:r w:rsidR="007D484A">
        <w:rPr>
          <w:rFonts w:eastAsia="Times New Roman"/>
        </w:rPr>
        <w:t>,</w:t>
      </w:r>
      <w:r w:rsidRPr="007D484A">
        <w:rPr>
          <w:rFonts w:eastAsia="Times New Roman"/>
        </w:rPr>
        <w:t xml:space="preserve"> οι όροι που τίθενται για την αποπληρωμή, αθροιστικά, διαμορφώνουν ένα ύψος δόσης που είναι εντελώς εξωπραγματικό, συγκρινόμενο με τις οικονομικές</w:t>
      </w:r>
      <w:r w:rsidR="007D484A">
        <w:rPr>
          <w:rFonts w:eastAsia="Times New Roman"/>
        </w:rPr>
        <w:t xml:space="preserve"> δυνατότητες της επιχείρησης.</w:t>
      </w:r>
    </w:p>
    <w:p w:rsidR="007D484A" w:rsidRPr="007D484A" w:rsidRDefault="009061A6" w:rsidP="007D484A">
      <w:pPr>
        <w:pStyle w:val="a3"/>
        <w:numPr>
          <w:ilvl w:val="0"/>
          <w:numId w:val="3"/>
        </w:numPr>
      </w:pPr>
      <w:r w:rsidRPr="007D484A">
        <w:rPr>
          <w:rFonts w:eastAsia="Times New Roman"/>
        </w:rPr>
        <w:t>Τα δανειακά τραπεζικά προϊόντα που προτείνονται για την υλοποίηση των ρυθμίσεων δεν έχουν την απαραίτητη ευελιξία για να προσαρμόζονται στις λογικές απαιτήσεις κάθε περίπτωσης. Πολλές μικρές ελληνικές εμπορικές επιχειρήσεις έχουν έντονο εποχικό χαρακτήρα (επιχειρήσεις π.χ. των νησιών και των τουριστικών περιοχών της χώρας μας). Σε αυτές τις επιχειρήσεις ένα δοσολόγιο που προβλέπει ισόποσες μηνιαίες δόσεις δεν μπορεί να εξυπηρετηθεί. Για την εξεύρεση λύσεων, οι οποίες προφανώς δεν είναι εύκολες, θα πρέπει να υπάρξει συνεργασία όλων των εμπλεκομένων μερών, με τη βασική κατεύθυνση να είναι ευθύνη της πολιτείας.</w:t>
      </w:r>
      <w:r w:rsidRPr="007D484A">
        <w:rPr>
          <w:rFonts w:eastAsia="Times New Roman"/>
        </w:rPr>
        <w:br/>
        <w:t>Η ΕΣΕΕ μέσω Προγραμμάτων Υποστήριξης Επιχειρήσεων, μπορεί να παρέχει συμβουλές και υποστήριξη για την αναγκαία από τη πλευρά των επιχειρήσεων προσαρμογή και αντιμετώπιση των επιπτώσεων της οικονομικής κρίσης και να κατευθύνει τις επιχειρήσεις να μετέχουν στα προγράμματα μέσω των φορέων</w:t>
      </w:r>
      <w:r w:rsidR="007D484A">
        <w:rPr>
          <w:rFonts w:eastAsia="Times New Roman"/>
        </w:rPr>
        <w:t xml:space="preserve"> των κοινωνικών εταίρων ώστε:</w:t>
      </w:r>
    </w:p>
    <w:p w:rsidR="007D484A" w:rsidRPr="007D484A" w:rsidRDefault="009061A6" w:rsidP="007D484A">
      <w:pPr>
        <w:pStyle w:val="a3"/>
        <w:numPr>
          <w:ilvl w:val="0"/>
          <w:numId w:val="4"/>
        </w:numPr>
      </w:pPr>
      <w:r w:rsidRPr="007D484A">
        <w:rPr>
          <w:rFonts w:eastAsia="Times New Roman"/>
        </w:rPr>
        <w:t>Να εφαρμόζουν μεθόδους αποδοτικότερης οικονομικής διαχείρισης και μείωσης του λειτουργικού τους κόστους</w:t>
      </w:r>
      <w:r w:rsidR="007D484A">
        <w:rPr>
          <w:rFonts w:eastAsia="Times New Roman"/>
        </w:rPr>
        <w:t>.</w:t>
      </w:r>
    </w:p>
    <w:p w:rsidR="007D484A" w:rsidRPr="007D484A" w:rsidRDefault="009061A6" w:rsidP="007D484A">
      <w:pPr>
        <w:pStyle w:val="a3"/>
        <w:numPr>
          <w:ilvl w:val="0"/>
          <w:numId w:val="4"/>
        </w:numPr>
      </w:pPr>
      <w:r w:rsidRPr="007D484A">
        <w:rPr>
          <w:rFonts w:eastAsia="Times New Roman"/>
        </w:rPr>
        <w:t>Να κατανοούν τις πραγματικές ανάγκες ρευστότητάς τους και να αναζητούν την κατάλληλη κάθε φορά πηγή χρηματοδότησης</w:t>
      </w:r>
      <w:r w:rsidR="007D484A">
        <w:rPr>
          <w:rFonts w:eastAsia="Times New Roman"/>
        </w:rPr>
        <w:t>.</w:t>
      </w:r>
    </w:p>
    <w:p w:rsidR="007D484A" w:rsidRPr="007D484A" w:rsidRDefault="009061A6" w:rsidP="007D484A">
      <w:pPr>
        <w:pStyle w:val="a3"/>
        <w:numPr>
          <w:ilvl w:val="0"/>
          <w:numId w:val="4"/>
        </w:numPr>
      </w:pPr>
      <w:r w:rsidRPr="007D484A">
        <w:rPr>
          <w:rFonts w:eastAsia="Times New Roman"/>
        </w:rPr>
        <w:t>Να αντιμετωπίζουν το σύνολο των υποχρεώσεών τους με τον ενδεδειγμένο, ανάλογα με τις συνθήκες, τρόπο και να θέτου</w:t>
      </w:r>
      <w:r w:rsidR="007D484A">
        <w:rPr>
          <w:rFonts w:eastAsia="Times New Roman"/>
        </w:rPr>
        <w:t>ν ρεαλιστικές προτεραιότητες.</w:t>
      </w:r>
    </w:p>
    <w:p w:rsidR="007D484A" w:rsidRPr="007D484A" w:rsidRDefault="009061A6" w:rsidP="007D484A">
      <w:pPr>
        <w:pStyle w:val="a3"/>
        <w:numPr>
          <w:ilvl w:val="0"/>
          <w:numId w:val="4"/>
        </w:numPr>
      </w:pPr>
      <w:r w:rsidRPr="007D484A">
        <w:rPr>
          <w:rFonts w:eastAsia="Times New Roman"/>
        </w:rPr>
        <w:t xml:space="preserve">Να προγραμματίζουν τις ταμειακές τους ροές ώστε να είναι συνεπείς στις υποχρεώσεις </w:t>
      </w:r>
      <w:r w:rsidR="007D484A">
        <w:rPr>
          <w:rFonts w:eastAsia="Times New Roman"/>
        </w:rPr>
        <w:t>τους.</w:t>
      </w:r>
    </w:p>
    <w:p w:rsidR="007D484A" w:rsidRPr="007D484A" w:rsidRDefault="009061A6" w:rsidP="007D484A">
      <w:pPr>
        <w:pStyle w:val="a3"/>
        <w:numPr>
          <w:ilvl w:val="0"/>
          <w:numId w:val="4"/>
        </w:numPr>
      </w:pPr>
      <w:r w:rsidRPr="007D484A">
        <w:rPr>
          <w:rFonts w:eastAsia="Times New Roman"/>
        </w:rPr>
        <w:lastRenderedPageBreak/>
        <w:t>Να ενημερώνονται για τις συνθήκες της αγοράς και του ανταγωνισμού και να προσαρμόζουν ευέλικτα το σχεδιασμό το</w:t>
      </w:r>
      <w:r w:rsidR="007D484A">
        <w:rPr>
          <w:rFonts w:eastAsia="Times New Roman"/>
        </w:rPr>
        <w:t>υς.</w:t>
      </w:r>
    </w:p>
    <w:p w:rsidR="007D484A" w:rsidRPr="007D484A" w:rsidRDefault="009061A6" w:rsidP="007D484A">
      <w:pPr>
        <w:pStyle w:val="a3"/>
        <w:numPr>
          <w:ilvl w:val="0"/>
          <w:numId w:val="4"/>
        </w:numPr>
      </w:pPr>
      <w:r w:rsidRPr="007D484A">
        <w:rPr>
          <w:rFonts w:eastAsia="Times New Roman"/>
        </w:rPr>
        <w:t>Να εφαρμόζουν τεχνικές αποτελεσματικότερης εσωτερικής οργάνωσης και να αξι</w:t>
      </w:r>
      <w:r w:rsidR="007D484A">
        <w:rPr>
          <w:rFonts w:eastAsia="Times New Roman"/>
        </w:rPr>
        <w:t>οποιούν τη σύγχρονη τεχνολογία.</w:t>
      </w:r>
    </w:p>
    <w:p w:rsidR="007D484A" w:rsidRDefault="007D484A" w:rsidP="007D484A">
      <w:pPr>
        <w:ind w:left="720"/>
        <w:rPr>
          <w:rFonts w:eastAsia="Times New Roman"/>
        </w:rPr>
      </w:pPr>
      <w:r>
        <w:rPr>
          <w:rFonts w:eastAsia="Times New Roman"/>
        </w:rPr>
        <w:t>Υποστηρίζεται με άλλα λόγια ο</w:t>
      </w:r>
      <w:r w:rsidR="009061A6" w:rsidRPr="007D484A">
        <w:rPr>
          <w:rFonts w:eastAsia="Times New Roman"/>
        </w:rPr>
        <w:t xml:space="preserve"> επιχειρηματία</w:t>
      </w:r>
      <w:r>
        <w:rPr>
          <w:rFonts w:eastAsia="Times New Roman"/>
        </w:rPr>
        <w:t>ς</w:t>
      </w:r>
      <w:r w:rsidR="009061A6" w:rsidRPr="007D484A">
        <w:rPr>
          <w:rFonts w:eastAsia="Times New Roman"/>
        </w:rPr>
        <w:t>, προκειμένου να καταστεί περισσότερο αποτελεσματικός, δημιουργικός και συνεργάσιμος.</w:t>
      </w:r>
      <w:r w:rsidR="009061A6" w:rsidRPr="007D484A">
        <w:rPr>
          <w:rFonts w:eastAsia="Times New Roman"/>
        </w:rPr>
        <w:br/>
        <w:t>Θα πρέπει και από</w:t>
      </w:r>
      <w:r>
        <w:rPr>
          <w:rFonts w:eastAsia="Times New Roman"/>
        </w:rPr>
        <w:t xml:space="preserve"> την άλλη πλευρά να διαμορφωθεί</w:t>
      </w:r>
      <w:r w:rsidR="009061A6" w:rsidRPr="007D484A">
        <w:rPr>
          <w:rFonts w:eastAsia="Times New Roman"/>
        </w:rPr>
        <w:t xml:space="preserve"> ένα περιβάλλον πιο φιλικό για την ελληνική μικρή και μεσαία επιχείρηση, μέσα στο οποίο θα της δοθεί η δυνατότητα όχι μόνο να αντλεί την αναγκαία κάθε φορά ρευστότητα αλλά και να βρίσκει αποτελεσματική διέξοδο από το σημερινό φαύλο κύκλο της υπερχρέωσης και των μη εξυπηρετούμενων οφειλών.</w:t>
      </w:r>
      <w:r w:rsidR="009061A6" w:rsidRPr="007D484A">
        <w:rPr>
          <w:rFonts w:eastAsia="Times New Roman"/>
        </w:rPr>
        <w:br/>
        <w:t>Μία από τις σημαντικότερες προτεραιότητες θα πρέπει να αποτελέσει η εξασφάλιση της μέγιστης δυνατής χρήσης των κεφαλαίων που διατίθενται μέσω των προγραμμάτων κρατικών ενισχύσεων και επιδότησης δανεισμού ή εγγυοδοσίας και για να επιτευχθεί αυτό χρειάζεται αποτελεσματικός μηχανισμός στο τραπεζικό σύστημα. Οι βασικές αρχές θ</w:t>
      </w:r>
      <w:r>
        <w:rPr>
          <w:rFonts w:eastAsia="Times New Roman"/>
        </w:rPr>
        <w:t>α πρέπει να διακρίνονται από:</w:t>
      </w:r>
    </w:p>
    <w:p w:rsidR="007D484A" w:rsidRPr="007D484A" w:rsidRDefault="009061A6" w:rsidP="007D484A">
      <w:pPr>
        <w:pStyle w:val="a3"/>
        <w:numPr>
          <w:ilvl w:val="0"/>
          <w:numId w:val="4"/>
        </w:numPr>
      </w:pPr>
      <w:r w:rsidRPr="007D484A">
        <w:rPr>
          <w:rFonts w:eastAsia="Times New Roman"/>
        </w:rPr>
        <w:t>Απλότητα και σαφήνεια των προβλεπόμενων διαδικασιών</w:t>
      </w:r>
      <w:r w:rsidR="007D484A">
        <w:rPr>
          <w:rFonts w:eastAsia="Times New Roman"/>
        </w:rPr>
        <w:t>.</w:t>
      </w:r>
    </w:p>
    <w:p w:rsidR="007D484A" w:rsidRPr="007D484A" w:rsidRDefault="007D484A" w:rsidP="007D484A">
      <w:pPr>
        <w:pStyle w:val="a3"/>
        <w:numPr>
          <w:ilvl w:val="0"/>
          <w:numId w:val="4"/>
        </w:numPr>
      </w:pPr>
      <w:r>
        <w:rPr>
          <w:rFonts w:eastAsia="Times New Roman"/>
        </w:rPr>
        <w:t xml:space="preserve">Πλήρη ενημέρωση και </w:t>
      </w:r>
      <w:r w:rsidR="009061A6" w:rsidRPr="007D484A">
        <w:rPr>
          <w:rFonts w:eastAsia="Times New Roman"/>
        </w:rPr>
        <w:t xml:space="preserve">άρτια εκπαίδευση </w:t>
      </w:r>
      <w:r>
        <w:rPr>
          <w:rFonts w:eastAsia="Times New Roman"/>
        </w:rPr>
        <w:t xml:space="preserve">των λειτουργών </w:t>
      </w:r>
      <w:r w:rsidR="009061A6" w:rsidRPr="007D484A">
        <w:rPr>
          <w:rFonts w:eastAsia="Times New Roman"/>
        </w:rPr>
        <w:t>του τραπεζικού δικτύου</w:t>
      </w:r>
      <w:r>
        <w:rPr>
          <w:rFonts w:eastAsia="Times New Roman"/>
        </w:rPr>
        <w:t>.</w:t>
      </w:r>
    </w:p>
    <w:p w:rsidR="007D484A" w:rsidRPr="007D484A" w:rsidRDefault="007D484A" w:rsidP="007D484A">
      <w:pPr>
        <w:pStyle w:val="a3"/>
        <w:numPr>
          <w:ilvl w:val="0"/>
          <w:numId w:val="4"/>
        </w:numPr>
      </w:pPr>
      <w:r>
        <w:rPr>
          <w:rFonts w:eastAsia="Times New Roman"/>
        </w:rPr>
        <w:t>Π</w:t>
      </w:r>
      <w:r w:rsidR="009061A6" w:rsidRPr="007D484A">
        <w:rPr>
          <w:rFonts w:eastAsia="Times New Roman"/>
        </w:rPr>
        <w:t>αροχή ενημέρωσης και συμβουλευτικών υπηρεσιών προς τους πελάτες</w:t>
      </w:r>
      <w:r>
        <w:rPr>
          <w:rFonts w:eastAsia="Times New Roman"/>
        </w:rPr>
        <w:t>.</w:t>
      </w:r>
    </w:p>
    <w:p w:rsidR="007D484A" w:rsidRPr="007D484A" w:rsidRDefault="007D484A" w:rsidP="007D484A">
      <w:pPr>
        <w:pStyle w:val="a3"/>
        <w:numPr>
          <w:ilvl w:val="0"/>
          <w:numId w:val="4"/>
        </w:numPr>
      </w:pPr>
      <w:r>
        <w:rPr>
          <w:rFonts w:eastAsia="Times New Roman"/>
        </w:rPr>
        <w:t>Α</w:t>
      </w:r>
      <w:r w:rsidR="009061A6" w:rsidRPr="007D484A">
        <w:rPr>
          <w:rFonts w:eastAsia="Times New Roman"/>
        </w:rPr>
        <w:t>λλαγή του τρόπου αξιολόγησης των αιτημάτων, με βαρύτητα στην απόδοση και βιωσιμότητα και όχι στις εξασφαλίσεις</w:t>
      </w:r>
      <w:r>
        <w:rPr>
          <w:rFonts w:eastAsia="Times New Roman"/>
        </w:rPr>
        <w:t>.</w:t>
      </w:r>
    </w:p>
    <w:p w:rsidR="00581981" w:rsidRPr="00581981" w:rsidRDefault="007D484A" w:rsidP="007D484A">
      <w:pPr>
        <w:pStyle w:val="a3"/>
        <w:numPr>
          <w:ilvl w:val="0"/>
          <w:numId w:val="4"/>
        </w:numPr>
      </w:pPr>
      <w:r>
        <w:rPr>
          <w:rFonts w:eastAsia="Times New Roman"/>
        </w:rPr>
        <w:t>Δ</w:t>
      </w:r>
      <w:r w:rsidR="009061A6" w:rsidRPr="007D484A">
        <w:rPr>
          <w:rFonts w:eastAsia="Times New Roman"/>
        </w:rPr>
        <w:t>ιαμόρφωση ενός ενιαίου πλαισίου παροχής διευκολύνσεων για ρυθμίσεις καθυστερημένων οφειλών. Μία αποτελεσματική</w:t>
      </w:r>
    </w:p>
    <w:p w:rsidR="007D7360" w:rsidRPr="007D7360" w:rsidRDefault="009061A6" w:rsidP="00581981">
      <w:pPr>
        <w:pStyle w:val="a3"/>
        <w:ind w:left="1080"/>
      </w:pPr>
      <w:r w:rsidRPr="007D484A">
        <w:rPr>
          <w:rFonts w:eastAsia="Times New Roman"/>
        </w:rPr>
        <w:t xml:space="preserve"> αντιμετώπιση του θέματος θα πρέπει να π</w:t>
      </w:r>
      <w:r w:rsidR="007D484A">
        <w:rPr>
          <w:rFonts w:eastAsia="Times New Roman"/>
        </w:rPr>
        <w:t>ροβλέπει τουλάχιστον τα εξής:</w:t>
      </w:r>
      <w:r w:rsidR="007D484A">
        <w:rPr>
          <w:rFonts w:eastAsia="Times New Roman"/>
        </w:rPr>
        <w:br/>
      </w:r>
      <w:r w:rsidR="00EA68DE" w:rsidRPr="007C681E">
        <w:rPr>
          <w:rFonts w:eastAsia="Times New Roman"/>
        </w:rPr>
        <w:t xml:space="preserve">α) </w:t>
      </w:r>
      <w:r w:rsidRPr="007C681E">
        <w:rPr>
          <w:rFonts w:eastAsia="Times New Roman"/>
        </w:rPr>
        <w:t xml:space="preserve">Η ρύθμιση να καλύπτει το σύνολο των υποχρεώσεων (του </w:t>
      </w:r>
      <w:r w:rsidRPr="007C681E">
        <w:rPr>
          <w:rFonts w:eastAsia="Times New Roman"/>
        </w:rPr>
        <w:lastRenderedPageBreak/>
        <w:t>Δημοσίου και των Ασφαλιστικών συμπεριλαμβανομένων)</w:t>
      </w:r>
      <w:r w:rsidR="00EA68DE" w:rsidRPr="007C681E">
        <w:rPr>
          <w:rFonts w:eastAsia="Times New Roman"/>
        </w:rPr>
        <w:t>.</w:t>
      </w:r>
      <w:r w:rsidR="00EA68DE" w:rsidRPr="007C681E">
        <w:rPr>
          <w:rFonts w:eastAsia="Times New Roman"/>
        </w:rPr>
        <w:br/>
        <w:t xml:space="preserve">β) </w:t>
      </w:r>
      <w:r w:rsidRPr="007C681E">
        <w:rPr>
          <w:rFonts w:eastAsia="Times New Roman"/>
        </w:rPr>
        <w:t>Να «καθαρίζεται» η οφειλή από καταχρηστικές ή υπερβολικές χρεώσεις με</w:t>
      </w:r>
      <w:r w:rsidR="00870433" w:rsidRPr="007C681E">
        <w:rPr>
          <w:rFonts w:eastAsia="Times New Roman"/>
        </w:rPr>
        <w:t xml:space="preserve"> τις οποίες έχει επιβαρυνθεί.</w:t>
      </w:r>
      <w:r w:rsidR="00870433" w:rsidRPr="007C681E">
        <w:rPr>
          <w:rFonts w:eastAsia="Times New Roman"/>
        </w:rPr>
        <w:br/>
        <w:t xml:space="preserve">γ) </w:t>
      </w:r>
      <w:r w:rsidRPr="007C681E">
        <w:rPr>
          <w:rFonts w:eastAsia="Times New Roman"/>
        </w:rPr>
        <w:t>Οι λύσεις να σχεδιάζονται προσαρμοσμένες στις ιδιαίτερες συνθήκες της κάθε επιχείρησης. Οριζόντιες λύσεις συνήθως ευνοούν τους οικονομικά ισχυρότερους, οι οποίοι αποτελούν τη</w:t>
      </w:r>
      <w:r w:rsidR="007D7360" w:rsidRPr="007C681E">
        <w:rPr>
          <w:rFonts w:eastAsia="Times New Roman"/>
        </w:rPr>
        <w:t xml:space="preserve"> μειοψηφία ενώ αφήνουν εκτός την</w:t>
      </w:r>
      <w:r w:rsidRPr="007C681E">
        <w:rPr>
          <w:rFonts w:eastAsia="Times New Roman"/>
        </w:rPr>
        <w:t xml:space="preserve"> συντριπτική πλειοψ</w:t>
      </w:r>
      <w:r w:rsidR="007D7360" w:rsidRPr="007C681E">
        <w:rPr>
          <w:rFonts w:eastAsia="Times New Roman"/>
        </w:rPr>
        <w:t>ηφία των δυνητικά δικαιούχων.</w:t>
      </w:r>
      <w:r w:rsidR="007D7360" w:rsidRPr="007C681E">
        <w:rPr>
          <w:rFonts w:eastAsia="Times New Roman"/>
        </w:rPr>
        <w:br/>
        <w:t xml:space="preserve">δ) </w:t>
      </w:r>
      <w:r w:rsidRPr="007C681E">
        <w:rPr>
          <w:rFonts w:eastAsia="Times New Roman"/>
        </w:rPr>
        <w:t>Να προτάσσεται η βιωσιμότητα της επιχείρησης έναντι του</w:t>
      </w:r>
      <w:r w:rsidRPr="007D484A">
        <w:rPr>
          <w:rFonts w:eastAsia="Times New Roman"/>
        </w:rPr>
        <w:t xml:space="preserve"> χρόνου εξόφλησης της οφειλής, γεγονός που ισοδυναμεί με τη δυνατότητα αναπροσαρμογής (προς τα κάτω) του αρχικώς </w:t>
      </w:r>
      <w:r w:rsidR="007D7360">
        <w:rPr>
          <w:rFonts w:eastAsia="Times New Roman"/>
        </w:rPr>
        <w:t>προβλεπόμενου ύψους των δόσεων.</w:t>
      </w:r>
    </w:p>
    <w:p w:rsidR="007D7360" w:rsidRDefault="009061A6" w:rsidP="00AC1013">
      <w:pPr>
        <w:rPr>
          <w:rFonts w:eastAsia="Times New Roman"/>
        </w:rPr>
      </w:pPr>
      <w:r w:rsidRPr="007D7360">
        <w:rPr>
          <w:rFonts w:eastAsia="Times New Roman"/>
        </w:rPr>
        <w:t>Εύκολα συνάγεται το συμπέρασμα πως η δημιουργία του παραπάνω πλαισίου και των υποστηρικτικών του μηχανισμών, θα επιβαρύνει τις τράπεζες με σημαντικό κόστος, η κάλυψη του οποίου πρέπει να διερευνηθεί αν μπορε</w:t>
      </w:r>
      <w:r w:rsidR="007D7360">
        <w:rPr>
          <w:rFonts w:eastAsia="Times New Roman"/>
        </w:rPr>
        <w:t>ί να καλυφθεί</w:t>
      </w:r>
      <w:r w:rsidRPr="007D7360">
        <w:rPr>
          <w:rFonts w:eastAsia="Times New Roman"/>
        </w:rPr>
        <w:t xml:space="preserve"> μέσω κονδυλίων του ΕΣΠΑ, χωρίς να θέτει σε κίνδυνο τις καταθέσεις των πελατών τους.</w:t>
      </w:r>
    </w:p>
    <w:p w:rsidR="007C681E" w:rsidRDefault="007C681E" w:rsidP="007D7360">
      <w:pPr>
        <w:rPr>
          <w:rFonts w:eastAsia="Times New Roman"/>
          <w:u w:val="single"/>
        </w:rPr>
      </w:pPr>
    </w:p>
    <w:p w:rsidR="007D7360" w:rsidRDefault="009061A6" w:rsidP="007D7360">
      <w:pPr>
        <w:rPr>
          <w:rFonts w:eastAsia="Times New Roman"/>
        </w:rPr>
      </w:pPr>
      <w:r w:rsidRPr="00FA67D3">
        <w:rPr>
          <w:rFonts w:eastAsia="Times New Roman"/>
          <w:b/>
          <w:u w:val="single"/>
        </w:rPr>
        <w:t xml:space="preserve">ΙΙ. ΝΕΑ ΒΑΣΗ ΜΕΤΡΗΣΗΣ ΤΗΣ ΕΜΠΟΡΙΚΗΣ ΠΙΣΤΗΣ ΜΕ ΑΞΙΟΠΟΙΗΣΗ ΤΗΣ ΤΕΙΡΕΣΙΑΣ ΑΕ </w:t>
      </w:r>
      <w:r w:rsidR="00AC1013" w:rsidRPr="00FA67D3">
        <w:rPr>
          <w:rFonts w:eastAsia="Times New Roman"/>
          <w:b/>
        </w:rPr>
        <w:br/>
      </w:r>
      <w:r w:rsidR="00AC1013">
        <w:rPr>
          <w:rFonts w:eastAsia="Times New Roman"/>
        </w:rPr>
        <w:t>Η ΕΣΕΕ με επιστολές της</w:t>
      </w:r>
      <w:r w:rsidRPr="007D7360">
        <w:rPr>
          <w:rFonts w:eastAsia="Times New Roman"/>
        </w:rPr>
        <w:t xml:space="preserve"> προς τους Υπουργούς Ανάπτυξης και Οικονομικών επισ</w:t>
      </w:r>
      <w:r w:rsidR="007D7360">
        <w:rPr>
          <w:rFonts w:eastAsia="Times New Roman"/>
        </w:rPr>
        <w:t>ημαίνει ότι έχουν ήδη περάσει 17</w:t>
      </w:r>
      <w:r w:rsidRPr="007D7360">
        <w:rPr>
          <w:rFonts w:eastAsia="Times New Roman"/>
        </w:rPr>
        <w:t xml:space="preserve"> ολόκληρα χρόνια, που οι τότε Ελληνικές Τράπεζες ίδρυσαν την «Τειρεσίας Α.Ε.», αναθέτοντάς της να προστατεύσει την εμπορική πίστη, τις τραπεζικές συναλλαγές και να μειώσει τις επισφάλειες, μέσω της ανάπτυξης και της διαχείρ</w:t>
      </w:r>
      <w:r w:rsidR="007D7360">
        <w:rPr>
          <w:rFonts w:eastAsia="Times New Roman"/>
        </w:rPr>
        <w:t>ισης αρχείων</w:t>
      </w:r>
      <w:r w:rsidRPr="007D7360">
        <w:rPr>
          <w:rFonts w:eastAsia="Times New Roman"/>
        </w:rPr>
        <w:t xml:space="preserve"> δεδομένων οικονομικής συμπεριφοράς. Όμως, από τότε μέχρι σήμερα πολλά άλλαξαν στον τραπεζικό κλάδο και ουδείς αμφιβάλλει πλέον ότι ο διατραπεζικός συνεταιρισμός του Τειρεσία με τις σημερινές μετέχουσες τράπεζες χρήζει σημαντικών τροποποιήσεων και κυρίως αξιοποίησης του από τις ελληνικές επιχειρήσεις.</w:t>
      </w:r>
      <w:r w:rsidRPr="007D7360">
        <w:rPr>
          <w:rFonts w:eastAsia="Times New Roman"/>
        </w:rPr>
        <w:br/>
        <w:t xml:space="preserve">Τα ισχύοντα χρονικά όρια τήρησης των αρχείων αρνητικών δεδομένων μπορεί να ήταν απαραίτητα το 1997, όταν και δημιουργήθηκε η εταιρεία, ωστόσο δεν </w:t>
      </w:r>
      <w:r w:rsidRPr="007D7360">
        <w:rPr>
          <w:rFonts w:eastAsia="Times New Roman"/>
        </w:rPr>
        <w:lastRenderedPageBreak/>
        <w:t>δικαιολογούνται σήμερα, που η αγορά πλέον έχει μηχανοργανωθεί και η κοινωνία μας έχει ενστερνιστεί πλήρως</w:t>
      </w:r>
      <w:r w:rsidR="007D7360">
        <w:rPr>
          <w:rFonts w:eastAsia="Times New Roman"/>
        </w:rPr>
        <w:t xml:space="preserve"> την</w:t>
      </w:r>
      <w:r w:rsidR="007D7360" w:rsidRPr="003A3201">
        <w:rPr>
          <w:rFonts w:eastAsia="Times New Roman"/>
          <w:b/>
        </w:rPr>
        <w:t xml:space="preserve"> ευρωπαϊκά προερχόμενη αρχή</w:t>
      </w:r>
      <w:r w:rsidRPr="003A3201">
        <w:rPr>
          <w:rFonts w:eastAsia="Times New Roman"/>
          <w:b/>
        </w:rPr>
        <w:t xml:space="preserve"> της δεύτερης ευκαιρίας.</w:t>
      </w:r>
      <w:r w:rsidRPr="007D7360">
        <w:rPr>
          <w:rFonts w:eastAsia="Times New Roman"/>
        </w:rPr>
        <w:t xml:space="preserve"> Στο πλαίσιο αυτό ήδη ξεκίνησε συνεργασία με τις υπηρεσίες του Τειρεσία η </w:t>
      </w:r>
      <w:r w:rsidR="007D7360" w:rsidRPr="007D7360">
        <w:rPr>
          <w:rFonts w:eastAsia="Times New Roman"/>
        </w:rPr>
        <w:t>οποία</w:t>
      </w:r>
      <w:r w:rsidRPr="007D7360">
        <w:rPr>
          <w:rFonts w:eastAsia="Times New Roman"/>
        </w:rPr>
        <w:t xml:space="preserve"> θα ανακοινωθεί επίσημα τον Σεπτέμβριο.</w:t>
      </w:r>
      <w:r w:rsidRPr="007D7360">
        <w:rPr>
          <w:rFonts w:eastAsia="Times New Roman"/>
        </w:rPr>
        <w:br/>
        <w:t>Η χρήση των στοιχείων και η διατήρησή τους στην σημερινή μορφή προκαλεί στρεβλώσεις και ιδιαίτερα αρνητικές οικονομικές συνέπειες στην ίδια την αγορά, την οποία υποτίθετα</w:t>
      </w:r>
      <w:r w:rsidR="007D7360">
        <w:rPr>
          <w:rFonts w:eastAsia="Times New Roman"/>
        </w:rPr>
        <w:t xml:space="preserve">ι ότι αποσκοπούν να εξυγιάνουν. </w:t>
      </w:r>
      <w:r w:rsidRPr="007D7360">
        <w:rPr>
          <w:rFonts w:eastAsia="Times New Roman"/>
        </w:rPr>
        <w:t>Ως εκ τούτου, θεωρούμε ότι είναι αναγκαίος ο εκσυγχρονισμός και ο επαναπροσδιορισμός του τρόπου και του χρόνου τήρησης των αρνητικών οικονομικών δεδομένων των συναλλασσομένων με τις Τράπεζες.</w:t>
      </w:r>
      <w:r w:rsidRPr="007D7360">
        <w:rPr>
          <w:rFonts w:eastAsia="Times New Roman"/>
        </w:rPr>
        <w:br/>
        <w:t>Το πλαίσιο των προτάσεων της ΕΣΕΕ αναφορικά με τις αλλαγές στον Τειρεσία περιγράφο</w:t>
      </w:r>
      <w:r w:rsidR="007D7360">
        <w:rPr>
          <w:rFonts w:eastAsia="Times New Roman"/>
        </w:rPr>
        <w:t>νται στα παρακάτω 12 σημεία:</w:t>
      </w:r>
    </w:p>
    <w:p w:rsidR="007D7360" w:rsidRPr="007D7360" w:rsidRDefault="009061A6" w:rsidP="007D7360">
      <w:pPr>
        <w:pStyle w:val="a3"/>
        <w:numPr>
          <w:ilvl w:val="0"/>
          <w:numId w:val="5"/>
        </w:numPr>
      </w:pPr>
      <w:r w:rsidRPr="007D7360">
        <w:rPr>
          <w:rFonts w:eastAsia="Times New Roman"/>
        </w:rPr>
        <w:t>Εφαρμογή Τειρεσία «δύο ταχυτήτων» με διαφορετική βαρύτητα για τις επιχειρήσεις που ενεγράφησαν προ κρίσης και εντός κρίσης, δηλα</w:t>
      </w:r>
      <w:r w:rsidR="007D7360">
        <w:rPr>
          <w:rFonts w:eastAsia="Times New Roman"/>
        </w:rPr>
        <w:t>δή από το 2009 μέχρι σήμερα.</w:t>
      </w:r>
    </w:p>
    <w:p w:rsidR="007D7360" w:rsidRPr="007D7360" w:rsidRDefault="009061A6" w:rsidP="007D7360">
      <w:pPr>
        <w:pStyle w:val="a3"/>
        <w:numPr>
          <w:ilvl w:val="0"/>
          <w:numId w:val="5"/>
        </w:numPr>
      </w:pPr>
      <w:r w:rsidRPr="007D7360">
        <w:rPr>
          <w:rFonts w:eastAsia="Times New Roman"/>
        </w:rPr>
        <w:t xml:space="preserve">Καθιέρωση «Point System» για την τελική εγγραφή της </w:t>
      </w:r>
      <w:r w:rsidR="007D7360">
        <w:rPr>
          <w:rFonts w:eastAsia="Times New Roman"/>
        </w:rPr>
        <w:t>οποιασδήποτε απαίτησης και μόνο</w:t>
      </w:r>
      <w:r w:rsidRPr="007D7360">
        <w:rPr>
          <w:rFonts w:eastAsia="Times New Roman"/>
        </w:rPr>
        <w:t xml:space="preserve"> εφόσον περάσουν 30 ημέρες από την τελική πάροδο της προθεσμίας για την κατά νόμο πληρωμή.</w:t>
      </w:r>
    </w:p>
    <w:p w:rsidR="007D7360" w:rsidRPr="007D7360" w:rsidRDefault="009061A6" w:rsidP="007D7360">
      <w:pPr>
        <w:pStyle w:val="a3"/>
        <w:numPr>
          <w:ilvl w:val="0"/>
          <w:numId w:val="5"/>
        </w:numPr>
      </w:pPr>
      <w:r w:rsidRPr="007D7360">
        <w:rPr>
          <w:rFonts w:eastAsia="Times New Roman"/>
        </w:rPr>
        <w:t>Προσαρμογή του Βορειο-Αμερικανικού μοντέλου «credit score» στην ελληνική πραγματικότητα με την εφαρ</w:t>
      </w:r>
      <w:r w:rsidR="007D7360">
        <w:rPr>
          <w:rFonts w:eastAsia="Times New Roman"/>
        </w:rPr>
        <w:t>μογή «βαθμολογίου» και κριτήρια</w:t>
      </w:r>
      <w:r w:rsidRPr="007D7360">
        <w:rPr>
          <w:rFonts w:eastAsia="Times New Roman"/>
        </w:rPr>
        <w:t xml:space="preserve"> το ιστορικό πληρωμών, τη</w:t>
      </w:r>
      <w:r w:rsidR="00AC1013">
        <w:rPr>
          <w:rFonts w:eastAsia="Times New Roman"/>
        </w:rPr>
        <w:t>ν</w:t>
      </w:r>
      <w:r w:rsidRPr="007D7360">
        <w:rPr>
          <w:rFonts w:eastAsia="Times New Roman"/>
        </w:rPr>
        <w:t xml:space="preserve"> χρήση διαθέσιμης πίστωσης, το ιστορικό βάθος της πίστωσης, τον αριθμό αιτήσε</w:t>
      </w:r>
      <w:r w:rsidR="007D7360">
        <w:rPr>
          <w:rFonts w:eastAsia="Times New Roman"/>
        </w:rPr>
        <w:t>ων και τους τύπους πίστωσης.</w:t>
      </w:r>
    </w:p>
    <w:p w:rsidR="007D7360" w:rsidRPr="007D7360" w:rsidRDefault="009061A6" w:rsidP="007D7360">
      <w:pPr>
        <w:pStyle w:val="a3"/>
        <w:numPr>
          <w:ilvl w:val="0"/>
          <w:numId w:val="5"/>
        </w:numPr>
      </w:pPr>
      <w:r w:rsidRPr="007D7360">
        <w:rPr>
          <w:rFonts w:eastAsia="Times New Roman"/>
        </w:rPr>
        <w:t xml:space="preserve">Εφαρμογή του διεθνούς συστήματος αξιολόγησης «R»- «account ratings» με 10 κατηγορίες πληρωμών από R0 έως και R9. Αν οι πληρωμές γίνονται χωρίς καθυστέρηση τότε ο υπόχρεος αξιολογείται με R1. Η χειρότερη κατηγορία «κακού χρέους» είναι η R9, ενώ οι ενδιάμεσες κατηγορίες υποδεικνύουν από ένα </w:t>
      </w:r>
      <w:r w:rsidR="007D7360">
        <w:rPr>
          <w:rFonts w:eastAsia="Times New Roman"/>
        </w:rPr>
        <w:t>έως τρεις μήνες καθυστέρηση.</w:t>
      </w:r>
    </w:p>
    <w:p w:rsidR="007D7360" w:rsidRPr="007D7360" w:rsidRDefault="009061A6" w:rsidP="007D7360">
      <w:pPr>
        <w:pStyle w:val="a3"/>
        <w:numPr>
          <w:ilvl w:val="0"/>
          <w:numId w:val="5"/>
        </w:numPr>
      </w:pPr>
      <w:r w:rsidRPr="007D7360">
        <w:rPr>
          <w:rFonts w:eastAsia="Times New Roman"/>
        </w:rPr>
        <w:t>Στοιχεία σφραγισμένων επιταγών ή/και απλήρωτων συναλλαγματικών να διαγράφονται υποχρεωτικά αμέσως μετά την εξόφλησή τους και μετά την προσκόμιση των απαραίτητω</w:t>
      </w:r>
      <w:r w:rsidR="007D7360">
        <w:rPr>
          <w:rFonts w:eastAsia="Times New Roman"/>
        </w:rPr>
        <w:t>ν δικαιολογητικών εξόφλησης.</w:t>
      </w:r>
    </w:p>
    <w:p w:rsidR="007D7360" w:rsidRPr="007D7360" w:rsidRDefault="009061A6" w:rsidP="007D7360">
      <w:pPr>
        <w:pStyle w:val="a3"/>
        <w:numPr>
          <w:ilvl w:val="0"/>
          <w:numId w:val="5"/>
        </w:numPr>
      </w:pPr>
      <w:r w:rsidRPr="007D7360">
        <w:rPr>
          <w:rFonts w:eastAsia="Times New Roman"/>
        </w:rPr>
        <w:lastRenderedPageBreak/>
        <w:t>Στοιχεία ανεξόφλητων σφραγισμένων επιταγών ή/και απλήρωτων συναλλαγματικών να διατηρούνται στο αρχείο, ανάλογα με το</w:t>
      </w:r>
      <w:r w:rsidR="007D7360">
        <w:rPr>
          <w:rFonts w:eastAsia="Times New Roman"/>
        </w:rPr>
        <w:t xml:space="preserve"> ποσό, από 3 έως 5 χρόνια.  </w:t>
      </w:r>
    </w:p>
    <w:p w:rsidR="00160D22" w:rsidRPr="00160D22" w:rsidRDefault="00160D22" w:rsidP="007D7360">
      <w:pPr>
        <w:pStyle w:val="a3"/>
        <w:numPr>
          <w:ilvl w:val="0"/>
          <w:numId w:val="5"/>
        </w:numPr>
      </w:pPr>
      <w:r>
        <w:rPr>
          <w:rFonts w:eastAsia="Times New Roman"/>
        </w:rPr>
        <w:t>Οι δ</w:t>
      </w:r>
      <w:r w:rsidR="009061A6" w:rsidRPr="007D7360">
        <w:rPr>
          <w:rFonts w:eastAsia="Times New Roman"/>
        </w:rPr>
        <w:t>ιαταγές πληρωμ</w:t>
      </w:r>
      <w:r>
        <w:rPr>
          <w:rFonts w:eastAsia="Times New Roman"/>
        </w:rPr>
        <w:t xml:space="preserve">ής </w:t>
      </w:r>
      <w:r w:rsidR="009061A6" w:rsidRPr="007D7360">
        <w:rPr>
          <w:rFonts w:eastAsia="Times New Roman"/>
        </w:rPr>
        <w:t>να διατηρούνται στο αρχείο του Τειρεσία για 3 χρόνια. Οι πλειστηριασμοί και οι κατασχέσεις να διατηρούν</w:t>
      </w:r>
      <w:r>
        <w:rPr>
          <w:rFonts w:eastAsia="Times New Roman"/>
        </w:rPr>
        <w:t>ται στο αρχείο για 4 χρόνια.</w:t>
      </w:r>
    </w:p>
    <w:p w:rsidR="00160D22" w:rsidRPr="00160D22" w:rsidRDefault="009061A6" w:rsidP="007D7360">
      <w:pPr>
        <w:pStyle w:val="a3"/>
        <w:numPr>
          <w:ilvl w:val="0"/>
          <w:numId w:val="5"/>
        </w:numPr>
      </w:pPr>
      <w:r w:rsidRPr="007D7360">
        <w:rPr>
          <w:rFonts w:eastAsia="Times New Roman"/>
        </w:rPr>
        <w:t>Οι αιτήσεις πτωχεύσεων πρέπει να διατηρούνται σε εμπιστευτικό αρχείο.  Επιμένουμε ιδιαίτερα στο σημείο αυτό, δεδομένου ότι αίτηση πτώχευσης μπορεί να υποβάλλει εναντίον του επιχειρηματία ο οποιοσδήποτε και οποιουδήποτε χρηματικού ύψους δανειστής του, χρησιμοποιώντας την ως απλό μ</w:t>
      </w:r>
      <w:r w:rsidR="00160D22">
        <w:rPr>
          <w:rFonts w:eastAsia="Times New Roman"/>
        </w:rPr>
        <w:t>έσο πίεσης για την εξόφληση.</w:t>
      </w:r>
    </w:p>
    <w:p w:rsidR="00160D22" w:rsidRPr="00160D22" w:rsidRDefault="009061A6" w:rsidP="007D7360">
      <w:pPr>
        <w:pStyle w:val="a3"/>
        <w:numPr>
          <w:ilvl w:val="0"/>
          <w:numId w:val="5"/>
        </w:numPr>
      </w:pPr>
      <w:r w:rsidRPr="007D7360">
        <w:rPr>
          <w:rFonts w:eastAsia="Times New Roman"/>
        </w:rPr>
        <w:t>Οι πληροφορίες για κηρυχθείσες πτωχεύσεις πρέπει να διαγράφονται από το αρχείο μέσα σε ένα εύλογο χρονικό διάστημα από την κήρυξή τους.  Κατά τον τρόπο αυτό, ο πτωχεύσας δεν θα τίθεται στο κοινωνικό περιθώριο, δεν θα μετατρέπεται σε πολίτη κατώτερης κατηγορίας και δεν θα του αφαιρείται το δικαίωμα στην δεύτερη ευκ</w:t>
      </w:r>
      <w:r w:rsidR="00160D22">
        <w:rPr>
          <w:rFonts w:eastAsia="Times New Roman"/>
        </w:rPr>
        <w:t xml:space="preserve">αιρία.  </w:t>
      </w:r>
    </w:p>
    <w:p w:rsidR="00160D22" w:rsidRPr="00160D22" w:rsidRDefault="009061A6" w:rsidP="007D7360">
      <w:pPr>
        <w:pStyle w:val="a3"/>
        <w:numPr>
          <w:ilvl w:val="0"/>
          <w:numId w:val="5"/>
        </w:numPr>
      </w:pPr>
      <w:r w:rsidRPr="007D7360">
        <w:rPr>
          <w:rFonts w:eastAsia="Times New Roman"/>
        </w:rPr>
        <w:t>Ο «λ</w:t>
      </w:r>
      <w:r w:rsidR="00AC1013">
        <w:rPr>
          <w:rFonts w:eastAsia="Times New Roman"/>
        </w:rPr>
        <w:t>ευκός» Τειρεσίας θα πρέπει</w:t>
      </w:r>
      <w:r w:rsidRPr="007D7360">
        <w:rPr>
          <w:rFonts w:eastAsia="Times New Roman"/>
        </w:rPr>
        <w:t xml:space="preserve"> να πάψει να </w:t>
      </w:r>
      <w:r w:rsidR="00160D22">
        <w:rPr>
          <w:rFonts w:eastAsia="Times New Roman"/>
        </w:rPr>
        <w:t>υφίσταται</w:t>
      </w:r>
      <w:r w:rsidRPr="007D7360">
        <w:rPr>
          <w:rFonts w:eastAsia="Times New Roman"/>
        </w:rPr>
        <w:t>.  Είναι παράλογο να τηρούνται στοιχεία για τον ενήμερο οφειλέτη, ο οποίος δεν πληρώνει μία φορά την δόση στην ώρα του ή κρίνεται υποκειμενικά ως «μελλοντικά επισ</w:t>
      </w:r>
      <w:r w:rsidR="00160D22">
        <w:rPr>
          <w:rFonts w:eastAsia="Times New Roman"/>
        </w:rPr>
        <w:t>φαλής» από τις τράπεζες.</w:t>
      </w:r>
    </w:p>
    <w:p w:rsidR="00160D22" w:rsidRPr="00160D22" w:rsidRDefault="009061A6" w:rsidP="007D7360">
      <w:pPr>
        <w:pStyle w:val="a3"/>
        <w:numPr>
          <w:ilvl w:val="0"/>
          <w:numId w:val="5"/>
        </w:numPr>
      </w:pPr>
      <w:r w:rsidRPr="007D7360">
        <w:rPr>
          <w:rFonts w:eastAsia="Times New Roman"/>
        </w:rPr>
        <w:t>Η γραφειοκρατία για την διαγραφή θα πρέπει να περιοριστεί και να αυτοματοποιηθεί. Η τρέχουσα διαδικασία είναι επίπονη, μακροχρόνια και πολυέξοδη, χρειάζεται πάντοτε την συνδρομή δικηγόρου και συνιστά ταλαιπωρία για τον εξοφλήσαντα οφειλέτη, πο</w:t>
      </w:r>
      <w:r w:rsidR="00160D22">
        <w:rPr>
          <w:rFonts w:eastAsia="Times New Roman"/>
        </w:rPr>
        <w:t xml:space="preserve">υ σίγουρα δεν χρειάζεται.  </w:t>
      </w:r>
    </w:p>
    <w:p w:rsidR="00160D22" w:rsidRPr="00160D22" w:rsidRDefault="009061A6" w:rsidP="007D7360">
      <w:pPr>
        <w:pStyle w:val="a3"/>
        <w:numPr>
          <w:ilvl w:val="0"/>
          <w:numId w:val="5"/>
        </w:numPr>
      </w:pPr>
      <w:r w:rsidRPr="007D7360">
        <w:rPr>
          <w:rFonts w:eastAsia="Times New Roman"/>
        </w:rPr>
        <w:t>Άμεση αποκατάσταση στην περίπτωση λάθους, αφού οι επιπτώσεις ειδικά σε έναν επιχειρηματία μπορεί να έχουν καθοριστικό αποτέλεσμα στην βιωσιμότητα της επιχείρησής του, ενώ πλήττεται ανεπανόρθωτα η φήμη και η αξιοπιστία του, που ειδικ</w:t>
      </w:r>
      <w:r w:rsidR="00160D22">
        <w:rPr>
          <w:rFonts w:eastAsia="Times New Roman"/>
        </w:rPr>
        <w:t>ά σήμερα έχει ανεκτίμητη αξία.</w:t>
      </w:r>
    </w:p>
    <w:p w:rsidR="00D56699" w:rsidRDefault="009061A6" w:rsidP="00160D22">
      <w:pPr>
        <w:rPr>
          <w:rFonts w:eastAsia="Times New Roman"/>
        </w:rPr>
      </w:pPr>
      <w:r w:rsidRPr="00160D22">
        <w:rPr>
          <w:rFonts w:eastAsia="Times New Roman"/>
        </w:rPr>
        <w:t>Η ΕΣΕΕ, σε καμία περίπτωση, δεν ζητά την πλήρη διαγραφή του  ιστο</w:t>
      </w:r>
      <w:r w:rsidR="00160D22">
        <w:rPr>
          <w:rFonts w:eastAsia="Times New Roman"/>
        </w:rPr>
        <w:t>ρικού των οικονομικών στοιχείων</w:t>
      </w:r>
      <w:r w:rsidRPr="00160D22">
        <w:rPr>
          <w:rFonts w:eastAsia="Times New Roman"/>
        </w:rPr>
        <w:t xml:space="preserve"> όσων δεν ήταν συνεπείς, ούτε άφεση αμαρτιών για όσους </w:t>
      </w:r>
      <w:r w:rsidRPr="00160D22">
        <w:rPr>
          <w:rFonts w:eastAsia="Times New Roman"/>
        </w:rPr>
        <w:lastRenderedPageBreak/>
        <w:t>υπήρξαν κακοπληρωτές εκ συστήματος, αλλά προτείνει πρακτικές αλλαγές, για όσους έχουν αποδείξει ότι αξίζουν μία δεύτερη ευκαιρία, όσο είναι ακόμα ενεργοί στην αγορά. Οι αναπροσαρμογές, που προτείνονται από την ΕΣΕΕ, εφαρμόζονται διεθνώς. Με το βαθμολόγιο και το σύστημα αξ</w:t>
      </w:r>
      <w:r w:rsidR="00160D22">
        <w:rPr>
          <w:rFonts w:eastAsia="Times New Roman"/>
        </w:rPr>
        <w:t>ιολόγησης που προτείνουμε, εκσυγχρονίζεται</w:t>
      </w:r>
      <w:r w:rsidRPr="00160D22">
        <w:rPr>
          <w:rFonts w:eastAsia="Times New Roman"/>
        </w:rPr>
        <w:t xml:space="preserve"> το όλο πλαίσιο «μέτρησης» τη</w:t>
      </w:r>
      <w:r w:rsidR="00160D22">
        <w:rPr>
          <w:rFonts w:eastAsia="Times New Roman"/>
        </w:rPr>
        <w:t>ς εμπορικής πίστης, εξισώνονται</w:t>
      </w:r>
      <w:r w:rsidRPr="00160D22">
        <w:rPr>
          <w:rFonts w:eastAsia="Times New Roman"/>
        </w:rPr>
        <w:t xml:space="preserve"> δικα</w:t>
      </w:r>
      <w:r w:rsidR="00160D22">
        <w:rPr>
          <w:rFonts w:eastAsia="Times New Roman"/>
        </w:rPr>
        <w:t>ιώματα και υποχρεώσεις, αίρονται οι</w:t>
      </w:r>
      <w:r w:rsidRPr="00160D22">
        <w:rPr>
          <w:rFonts w:eastAsia="Times New Roman"/>
        </w:rPr>
        <w:t xml:space="preserve"> α</w:t>
      </w:r>
      <w:r w:rsidR="00160D22">
        <w:rPr>
          <w:rFonts w:eastAsia="Times New Roman"/>
        </w:rPr>
        <w:t>δικίες και παράλληλα μειώνεται περαιτέρω ο</w:t>
      </w:r>
      <w:r w:rsidRPr="00160D22">
        <w:rPr>
          <w:rFonts w:eastAsia="Times New Roman"/>
        </w:rPr>
        <w:t xml:space="preserve"> κίνδυνο</w:t>
      </w:r>
      <w:r w:rsidR="00160D22">
        <w:rPr>
          <w:rFonts w:eastAsia="Times New Roman"/>
        </w:rPr>
        <w:t>ς</w:t>
      </w:r>
      <w:r w:rsidRPr="00160D22">
        <w:rPr>
          <w:rFonts w:eastAsia="Times New Roman"/>
        </w:rPr>
        <w:t xml:space="preserve"> των επισφαλειών στην αγορά.</w:t>
      </w:r>
      <w:r w:rsidRPr="00160D22">
        <w:rPr>
          <w:rFonts w:eastAsia="Times New Roman"/>
        </w:rPr>
        <w:br/>
      </w:r>
      <w:r w:rsidRPr="00160D22">
        <w:rPr>
          <w:rFonts w:eastAsia="Times New Roman"/>
        </w:rPr>
        <w:br/>
      </w:r>
      <w:r w:rsidRPr="00FA67D3">
        <w:rPr>
          <w:rFonts w:eastAsia="Times New Roman"/>
          <w:b/>
          <w:u w:val="single"/>
        </w:rPr>
        <w:t>ΙΙΙ. ΠΡΟΤΑΣΕΙΣ ΡΥΘΜΙΣΗΣ ΕΠΙΧΕΙΡΗΜΑΤΙΚΩΝ ΟΦΕΙΛΩΝ, ΕΓΓΥΗΣΕΩΝ ΚΑΙ "ΚΟΚΚΙΝΩΝ" ΔΑΝΕΙΩΝ</w:t>
      </w:r>
      <w:r w:rsidRPr="00FA67D3">
        <w:rPr>
          <w:rFonts w:eastAsia="Times New Roman"/>
          <w:b/>
        </w:rPr>
        <w:br/>
      </w:r>
      <w:r w:rsidRPr="00D56699">
        <w:rPr>
          <w:rFonts w:eastAsia="Times New Roman"/>
        </w:rPr>
        <w:t xml:space="preserve">Η ΕΣΕΕ, αναφερόμενη στο θέμα των «κόκκινων» δανείων, το οποίο </w:t>
      </w:r>
      <w:r w:rsidRPr="007C681E">
        <w:rPr>
          <w:rFonts w:eastAsia="Times New Roman"/>
          <w:b/>
        </w:rPr>
        <w:t>βαίνει συνεχώς διογκούμενο</w:t>
      </w:r>
      <w:r w:rsidRPr="00D56699">
        <w:rPr>
          <w:rFonts w:eastAsia="Times New Roman"/>
        </w:rPr>
        <w:t>, ζητάει νέα ρύθμιση των επιχειρηματικών οφειλών, καθώς τα τελευταία διαθέσιμα στοιχεία της Τράπεζας της Ελλάδας αναφορικά με τα μη εξυπηρετούμενα εταιρικά δάνεια, προκαλούν έντονο προβληματισμό και απόγνωση  τόσο στους εκπροσώπους της αγοράς όσο και στους</w:t>
      </w:r>
      <w:r w:rsidRPr="00160D22">
        <w:rPr>
          <w:rFonts w:eastAsia="Times New Roman"/>
        </w:rPr>
        <w:t xml:space="preserve"> υπεύθυνους άσκησης/χάραξης κυβερνητικής πολιτικής. Ενδεικτικά αναφέρεται πως κατά τη διάρκεια του Α΄</w:t>
      </w:r>
      <w:r w:rsidR="00D56699">
        <w:rPr>
          <w:rFonts w:eastAsia="Times New Roman"/>
        </w:rPr>
        <w:t xml:space="preserve"> Τριμήνου του τρέχοντος έτους, </w:t>
      </w:r>
      <w:r w:rsidRPr="00160D22">
        <w:rPr>
          <w:rFonts w:eastAsia="Times New Roman"/>
        </w:rPr>
        <w:t>από τα 116  δις χορηγηθέντων επ</w:t>
      </w:r>
      <w:r w:rsidR="00AC1013">
        <w:rPr>
          <w:rFonts w:eastAsia="Times New Roman"/>
        </w:rPr>
        <w:t>ιχειρηματικών δανείων, τα 42 εξ</w:t>
      </w:r>
      <w:r w:rsidRPr="00160D22">
        <w:rPr>
          <w:rFonts w:eastAsia="Times New Roman"/>
        </w:rPr>
        <w:t xml:space="preserve"> αυτών έχουν χαρακτηριστεί ως μη εξυπηρετούμενα, με αποτέλεσμα η αναλογία των «κόκκινων» δανείων επί του συνόλου να διαμορφώνεται στο 36,2%,  καταγράφοντας αύξηση σε σύγκριση με το 2013 (32,0%). Ακόμη πιο απογοητευτική είναι η εικόνα που προκύπτει  για τις χορηγήσεις αξίας 23 δις ευρώ που έχουν λάβει οι Μικρομεσαίες Επιχειρήσεις από τα πιστωτικά ιδρύματα, με το ποσοστό των καθυστερούμενων δανείων να ανέρχεται στα 10,8 δις ευρώ ή στο 47% επί του συνόλου.</w:t>
      </w:r>
      <w:r w:rsidRPr="00160D22">
        <w:rPr>
          <w:rFonts w:eastAsia="Times New Roman"/>
        </w:rPr>
        <w:br/>
        <w:t>Ως εκ τούτου, η μόνη βιώσιμη λύση αμφίδρομης ωφέλειας/χρησιμότητας τόσο για τους  δανειολήπτες όσο και για τα τραπεζικά ιδρύματα, αποτυπώνετα</w:t>
      </w:r>
      <w:r w:rsidR="00D56699">
        <w:rPr>
          <w:rFonts w:eastAsia="Times New Roman"/>
        </w:rPr>
        <w:t xml:space="preserve">ι στην </w:t>
      </w:r>
      <w:r w:rsidR="00D56699" w:rsidRPr="00D56699">
        <w:rPr>
          <w:rFonts w:eastAsia="Times New Roman"/>
        </w:rPr>
        <w:t>-</w:t>
      </w:r>
      <w:r w:rsidR="00D56699">
        <w:rPr>
          <w:rFonts w:eastAsia="Times New Roman"/>
        </w:rPr>
        <w:t>επικαιροποιημένη βεβαίως</w:t>
      </w:r>
      <w:r w:rsidR="00D56699" w:rsidRPr="00D56699">
        <w:rPr>
          <w:rFonts w:eastAsia="Times New Roman"/>
        </w:rPr>
        <w:t>-</w:t>
      </w:r>
      <w:r w:rsidRPr="00160D22">
        <w:rPr>
          <w:rFonts w:eastAsia="Times New Roman"/>
        </w:rPr>
        <w:t xml:space="preserve"> </w:t>
      </w:r>
      <w:r w:rsidRPr="007C681E">
        <w:rPr>
          <w:rFonts w:eastAsia="Times New Roman"/>
          <w:b/>
        </w:rPr>
        <w:t>επανενεργοποίηση του μοναδικού νομικού πλαισίου που έχει υπάρξει έως σήμερα, του νόμου 3816/2010</w:t>
      </w:r>
      <w:r w:rsidRPr="00160D22">
        <w:rPr>
          <w:rFonts w:eastAsia="Times New Roman"/>
        </w:rPr>
        <w:t>.  Στο συγκεκριμένο νόμο</w:t>
      </w:r>
      <w:r w:rsidR="00D56699" w:rsidRPr="00D56699">
        <w:rPr>
          <w:rFonts w:eastAsia="Times New Roman"/>
        </w:rPr>
        <w:t>,</w:t>
      </w:r>
      <w:r w:rsidRPr="00160D22">
        <w:rPr>
          <w:rFonts w:eastAsia="Times New Roman"/>
        </w:rPr>
        <w:t xml:space="preserve"> που επιδέχεται </w:t>
      </w:r>
      <w:r w:rsidR="00AC1013">
        <w:rPr>
          <w:rFonts w:eastAsia="Times New Roman"/>
        </w:rPr>
        <w:t>βελτιώσεις</w:t>
      </w:r>
      <w:r w:rsidR="00D56699" w:rsidRPr="00D56699">
        <w:rPr>
          <w:rFonts w:eastAsia="Times New Roman"/>
        </w:rPr>
        <w:t xml:space="preserve"> </w:t>
      </w:r>
      <w:r w:rsidR="00AC1013">
        <w:rPr>
          <w:rFonts w:eastAsia="Times New Roman"/>
        </w:rPr>
        <w:t>και προσαρμογές</w:t>
      </w:r>
      <w:r w:rsidR="00D56699">
        <w:rPr>
          <w:rFonts w:eastAsia="Times New Roman"/>
        </w:rPr>
        <w:t xml:space="preserve"> στο σήμερα,</w:t>
      </w:r>
      <w:r w:rsidRPr="00160D22">
        <w:rPr>
          <w:rFonts w:eastAsia="Times New Roman"/>
        </w:rPr>
        <w:t xml:space="preserve"> είχαν δικαίωμα υπαγωγής όλες οι επιχειρήσεις με ληξιπρόθεσμες οφειλές </w:t>
      </w:r>
      <w:r w:rsidRPr="00160D22">
        <w:rPr>
          <w:rFonts w:eastAsia="Times New Roman"/>
        </w:rPr>
        <w:lastRenderedPageBreak/>
        <w:t>τουλάχιστον 3 μηνών προς τα πιστωτικά ιδρύματα από επιχειρηματικό δάνειο.</w:t>
      </w:r>
      <w:r w:rsidRPr="00160D22">
        <w:rPr>
          <w:rFonts w:eastAsia="Times New Roman"/>
        </w:rPr>
        <w:br/>
        <w:t>Στις πιθανές βελτιώσεις προτείνεται</w:t>
      </w:r>
      <w:r w:rsidR="00D56699">
        <w:rPr>
          <w:rFonts w:eastAsia="Times New Roman"/>
        </w:rPr>
        <w:t>,</w:t>
      </w:r>
      <w:r w:rsidRPr="00160D22">
        <w:rPr>
          <w:rFonts w:eastAsia="Times New Roman"/>
        </w:rPr>
        <w:t xml:space="preserve"> σε μη καταγγελθείσες συμβάσεις, η αποπληρωμή να έχει διάρκεια ίση με τον συμβατικό χρόνο, με δικαίωμα διαπραγμάτευσης για επέκταση. Στις καταγγελθείσες συμβάσεις, η αποπληρωμή να ξεπερνά τον συμβατικό χρόνο αλλά να μην ξεπερνά συνολικά τα 10 έτη. Τα 2 πρώτα έτη να καταβάλλονται μόνο τόκοι και εν συνεχεία ισόποσες περιοδικές δόσεις. Στις καταγγελθείσες συμβάσεις ανοικτού ή αλληλόχρεου λογαριασμού</w:t>
      </w:r>
      <w:r w:rsidR="00D56699">
        <w:rPr>
          <w:rFonts w:eastAsia="Times New Roman"/>
        </w:rPr>
        <w:t>,</w:t>
      </w:r>
      <w:r w:rsidRPr="00160D22">
        <w:rPr>
          <w:rFonts w:eastAsia="Times New Roman"/>
        </w:rPr>
        <w:t xml:space="preserve"> η αποπληρωμή να πραγματοποιείται σε 10 έτη με ισόποσες μηνιαίες δόσεις.  Ο υπολογισμός των τόκων να γίνεται με συμβατικό επιτόκιο ενήμερης οφειλής. Από την δημοσίευση του νόμου να παγώνουν τα αναγκαστικά μέτρα κατά των οφειλετών που αποφάσισαν την υπαγωγή τους σε αυτόν. Παράλληλα, στο συγκεκριμένο νόμο θα μπορούσαν να υπαχθούν και όσες επιχειρήσεις είχαν ενήμερες οφειλές στα πιστωτικά ιδρύματα αλλά αντιμετώπιζαν προβλήματα στην εξυπηρέτησή τους. Στην περίπτωση αυτή, οι </w:t>
      </w:r>
      <w:r w:rsidR="00D56699">
        <w:rPr>
          <w:rFonts w:eastAsia="Times New Roman"/>
        </w:rPr>
        <w:t>επιχειρήσεις προτείνεται θα είχαν</w:t>
      </w:r>
      <w:r w:rsidRPr="00160D22">
        <w:rPr>
          <w:rFonts w:eastAsia="Times New Roman"/>
        </w:rPr>
        <w:t xml:space="preserve"> μία εκ των ακόλουθων επ</w:t>
      </w:r>
      <w:r w:rsidR="00D56699">
        <w:rPr>
          <w:rFonts w:eastAsia="Times New Roman"/>
        </w:rPr>
        <w:t>ιλογών:</w:t>
      </w:r>
    </w:p>
    <w:p w:rsidR="00D56699" w:rsidRPr="00D56699" w:rsidRDefault="009061A6" w:rsidP="00D56699">
      <w:pPr>
        <w:pStyle w:val="a3"/>
        <w:numPr>
          <w:ilvl w:val="0"/>
          <w:numId w:val="6"/>
        </w:numPr>
      </w:pPr>
      <w:r w:rsidRPr="00D56699">
        <w:rPr>
          <w:rFonts w:eastAsia="Times New Roman"/>
        </w:rPr>
        <w:t>Περίοδο χάριτος ενός έτους, χωρίς καταβολή τόκων και κεφαλαίου με αντίστοιχη παράταση της συμβατικής διάρκειας του δανείου και κεφαλαιοποίηση των τόκων σ</w:t>
      </w:r>
      <w:r w:rsidR="00D56699">
        <w:rPr>
          <w:rFonts w:eastAsia="Times New Roman"/>
        </w:rPr>
        <w:t>τη λήξη της περιόδου χάριτος.</w:t>
      </w:r>
    </w:p>
    <w:p w:rsidR="00D56699" w:rsidRPr="00D56699" w:rsidRDefault="009061A6" w:rsidP="00D56699">
      <w:pPr>
        <w:pStyle w:val="a3"/>
        <w:numPr>
          <w:ilvl w:val="0"/>
          <w:numId w:val="6"/>
        </w:numPr>
      </w:pPr>
      <w:r w:rsidRPr="00D56699">
        <w:rPr>
          <w:rFonts w:eastAsia="Times New Roman"/>
        </w:rPr>
        <w:t>Αναστολή για μία 2ετία της χρεολυτικής αποπληρωμής του άληκτου κεφαλαίου με αντίστοιχη παράταση της συμβατικής διάρκειας του δανείου και καταβολή των τόκων</w:t>
      </w:r>
      <w:r w:rsidR="00D56699">
        <w:rPr>
          <w:rFonts w:eastAsia="Times New Roman"/>
        </w:rPr>
        <w:t xml:space="preserve"> στην διάρκεια της αναστολής.</w:t>
      </w:r>
    </w:p>
    <w:p w:rsidR="00D56699" w:rsidRPr="00D56699" w:rsidRDefault="009061A6" w:rsidP="00D56699">
      <w:pPr>
        <w:pStyle w:val="a3"/>
        <w:numPr>
          <w:ilvl w:val="0"/>
          <w:numId w:val="6"/>
        </w:numPr>
      </w:pPr>
      <w:r w:rsidRPr="00D56699">
        <w:rPr>
          <w:rFonts w:eastAsia="Times New Roman"/>
        </w:rPr>
        <w:t>Παράταση της συμβατικής διάρκειας του δανείου κατά 4 έτη.</w:t>
      </w:r>
      <w:r w:rsidRPr="00D56699">
        <w:rPr>
          <w:rFonts w:eastAsia="Times New Roman"/>
        </w:rPr>
        <w:br/>
        <w:t>Στην περίπτωση καταγγελίας σύμβασης ανοικτού ή αλληλόχρεου λογαριασμού μετά την έναρξη ισχύος του νόμου, δίνονταν στον οφε</w:t>
      </w:r>
      <w:r w:rsidR="00D56699">
        <w:rPr>
          <w:rFonts w:eastAsia="Times New Roman"/>
        </w:rPr>
        <w:t>ιλέτη τα ακόλουθα δικαιώματα:</w:t>
      </w:r>
    </w:p>
    <w:p w:rsidR="00D56699" w:rsidRDefault="009061A6" w:rsidP="00D56699">
      <w:pPr>
        <w:pStyle w:val="a3"/>
        <w:numPr>
          <w:ilvl w:val="0"/>
          <w:numId w:val="4"/>
        </w:numPr>
        <w:rPr>
          <w:rFonts w:eastAsia="Times New Roman"/>
        </w:rPr>
      </w:pPr>
      <w:r w:rsidRPr="00D56699">
        <w:rPr>
          <w:rFonts w:eastAsia="Times New Roman"/>
        </w:rPr>
        <w:t xml:space="preserve">Να αποπληρώσει το κατάλοιπο του λογαριασμού σε 10 έτη με ισόποσες μηνιαίες τοκοχρεολυτικές δόσεις, καταβάλλοντας κατά το πρώτο έτος μόνο τόκους. Για τον υπολογισμό των τόκων </w:t>
      </w:r>
      <w:r w:rsidR="00D56699">
        <w:rPr>
          <w:rFonts w:eastAsia="Times New Roman"/>
        </w:rPr>
        <w:t>ισχύει το συμβατικό επιτόκιο.</w:t>
      </w:r>
    </w:p>
    <w:p w:rsidR="00D56699" w:rsidRDefault="009061A6" w:rsidP="00D56699">
      <w:pPr>
        <w:pStyle w:val="a3"/>
        <w:numPr>
          <w:ilvl w:val="0"/>
          <w:numId w:val="4"/>
        </w:numPr>
        <w:rPr>
          <w:rFonts w:eastAsia="Times New Roman"/>
        </w:rPr>
      </w:pPr>
      <w:r w:rsidRPr="00D56699">
        <w:rPr>
          <w:rFonts w:eastAsia="Times New Roman"/>
        </w:rPr>
        <w:lastRenderedPageBreak/>
        <w:t>Αν μειωθεί ή δεν ανανεωθεί μονομερώς από το πιστωτικό ίδρυμα το πιστωτικό όριο της σύμβασης, μπορεί να εξοφλήσει το χρεωστικό υπόλο</w:t>
      </w:r>
      <w:r w:rsidR="00D56699">
        <w:rPr>
          <w:rFonts w:eastAsia="Times New Roman"/>
        </w:rPr>
        <w:t>ιπο του λογαριασμού σε 10 έτη.</w:t>
      </w:r>
    </w:p>
    <w:p w:rsidR="002D4B69" w:rsidRDefault="009061A6" w:rsidP="00D56699">
      <w:pPr>
        <w:rPr>
          <w:rFonts w:eastAsia="Times New Roman"/>
        </w:rPr>
      </w:pPr>
      <w:r w:rsidRPr="00D56699">
        <w:rPr>
          <w:rFonts w:eastAsia="Times New Roman"/>
        </w:rPr>
        <w:t xml:space="preserve">Στον σχετικό νόμο, θα πρέπει να υπάρχει πρόνοια και για τα δάνεια που είχαν χορηγηθεί σε πυρόπληκτες περιοχές, με 2ετή αναστολή της χρεολυτικής αποπληρωμής του δανείου, αντίστοιχη παράταση της συμβατικής διάρκειας και καταβολή των τόκων στην διάρκεια της αναστολής.  </w:t>
      </w:r>
      <w:r w:rsidRPr="00D56699">
        <w:rPr>
          <w:rFonts w:eastAsia="Times New Roman"/>
        </w:rPr>
        <w:br/>
        <w:t xml:space="preserve">Ωστόσο ο νόμος θα πρέπει να προβλέπει </w:t>
      </w:r>
      <w:r w:rsidR="00D56699">
        <w:rPr>
          <w:rFonts w:eastAsia="Times New Roman"/>
        </w:rPr>
        <w:t xml:space="preserve">επίσης </w:t>
      </w:r>
      <w:r w:rsidRPr="00D56699">
        <w:rPr>
          <w:rFonts w:eastAsia="Times New Roman"/>
        </w:rPr>
        <w:t>ένταξη στις ρυθμίσεις του για τα δάνεια που είχαν ληφθεί με την εγγύηση του πρώην ΤΕΜΠΜΕ, πράγμα που πρέπει να θεραπευθεί με την νέα ρύθμιση. Ως γνωστό έχει παραταθεί η προθεσμία εξόφλησης των δανείων από τις επιχειρήσεις που είχαν ενταχθεί σε προγράμματα του πρώην ΤΕΜΠΜΕ ΑΕ και νυν ΕΤΕΑΝ. Με τροπολογία δόθηκε ετήσια παράταση της ημερομηνίας λήξης ομολόγων τα οποία βρίσκονταν στην κατοχή της ΕΤΕΑΝ ΑΕ στις 10 Αυγούστου 2014 (περίπου 750 εκ. από τα αρχικώς εκδοθέντα συνολικής ονομαστικής αξίας 1,5 δις ευρώ) που προέρχονται από αύξηση του μετοχικού κεφαλαίου της ΤΕΜΠΜΕ ΑΕ και καθορίστηκαν οι λεπτομέρειες εφαρμογής του τρόπου αντικατάστασης των ομολόγων, της τιμής αποτίμησης, της απόδοσης των δεδουλευμένων τόκων και της επιστροφής τους στο Ελληνικό Δημόσιο.</w:t>
      </w:r>
      <w:r w:rsidRPr="00D56699">
        <w:rPr>
          <w:rFonts w:eastAsia="Times New Roman"/>
        </w:rPr>
        <w:br/>
        <w:t>Με την ψήφιση της συγκεκριμένης διάταξης και με τη σχετική κοινή Υπουργική Απόφαση, δημιουργούνται οι συνθήκες για την παράταση των δανείων που έχουν λάβει μικρομεσαίοι από το ΕΤΕΑΝ.</w:t>
      </w:r>
      <w:r w:rsidRPr="00D56699">
        <w:rPr>
          <w:rFonts w:eastAsia="Times New Roman"/>
        </w:rPr>
        <w:br/>
        <w:t>Στις προϋποθέσεις παράτασης υπάγονται όχι μόνο οφειλές από τα προγράμματα εγγυήσεων δανείων κεφαλαίων κίνησης (α’ και β’ φάση) που είχαν χορηγηθεί από το πρώην ΤΕΜΠΜΕ, αλλά και οφειλές και εγγυήσεις από το σύνολο των προγραμμάτων του ΤΕΜΠΜΕ και το ΕΤΕΑΝ. Σχετικά με την κατάπτωση των εγγυήσεων του ΕΤΕΑΝ, πρέπει να ορισθούν ρυθμίσεις και λεπτομέρειες, ώστε οι εξασφαλίσεις που καλύπτουν τα εγγυημένα από το ΕΤΕΑΝ δάνεια να λειτουργούν υπέρ του Ελληνικού Δημοσίου.</w:t>
      </w:r>
      <w:r w:rsidRPr="00D56699">
        <w:rPr>
          <w:rFonts w:eastAsia="Times New Roman"/>
        </w:rPr>
        <w:br/>
      </w:r>
      <w:r w:rsidRPr="00D56699">
        <w:rPr>
          <w:rFonts w:eastAsia="Times New Roman"/>
        </w:rPr>
        <w:br/>
      </w:r>
      <w:r w:rsidRPr="00AD72B9">
        <w:rPr>
          <w:rFonts w:eastAsia="Times New Roman"/>
          <w:b/>
          <w:u w:val="single"/>
        </w:rPr>
        <w:lastRenderedPageBreak/>
        <w:t>IV. ΠΡΟΤΑΣΗ ΝΟΜΟΥ ΥΠΑΑΝ ΕΞΩΔΙΚΑΣΤΙΚΗΣ ΕΠΙΛΥΣΗΣ ΔΙΑΦΟΡΩΝ ΜΕΤΑΞΥ ΠΙΣΤΩΤΩΝ ΚΑΙ ΟΦΕΙΛΕΤΩΝ</w:t>
      </w:r>
      <w:r w:rsidRPr="00AD72B9">
        <w:rPr>
          <w:rFonts w:eastAsia="Times New Roman"/>
          <w:b/>
        </w:rPr>
        <w:br/>
      </w:r>
      <w:r w:rsidRPr="00D56699">
        <w:rPr>
          <w:rFonts w:eastAsia="Times New Roman"/>
        </w:rPr>
        <w:t>Η νομοθετική προστασία της βιώσιμης "εντός κρίση</w:t>
      </w:r>
      <w:r w:rsidR="00D56699">
        <w:rPr>
          <w:rFonts w:eastAsia="Times New Roman"/>
        </w:rPr>
        <w:t>ς" επιχείρησης</w:t>
      </w:r>
      <w:r w:rsidRPr="00D56699">
        <w:rPr>
          <w:rFonts w:eastAsia="Times New Roman"/>
        </w:rPr>
        <w:t xml:space="preserve"> αποδεσμεύει ουσιαστικά τα σχέδια εξυγίανσης των επιχειρήσεων από τα δικαστήρια, ο ρόλος των οποίων περιορίζεται στην έγ</w:t>
      </w:r>
      <w:r w:rsidR="00D56699">
        <w:rPr>
          <w:rFonts w:eastAsia="Times New Roman"/>
        </w:rPr>
        <w:t>κριση του σχεδίου αναδιάρθρωσης</w:t>
      </w:r>
      <w:r w:rsidRPr="00D56699">
        <w:rPr>
          <w:rFonts w:eastAsia="Times New Roman"/>
        </w:rPr>
        <w:t>  (business plan) που συμφωνείται μεταξύ πιστωτών και οφειλετών, δηλαδή των διοικήσεων των υπερχρεωμένων επιχειρήσεων.</w:t>
      </w:r>
      <w:r w:rsidRPr="00D56699">
        <w:rPr>
          <w:rFonts w:eastAsia="Times New Roman"/>
        </w:rPr>
        <w:br/>
        <w:t>Η πρόταση νόμου του υπουργείου Ανάπτυξης, που έχει αποσταλεί προς διαβούλευση στις τράπεζες, προβλέπει ουσιαστικά τη συμφωνία των δύο μερών, πιστωτών και οφειλετών, για τη ρύθμιση των επιχειρηματικών χρεών, με την προϋπόθεση ότι το σχέδιο εξυγίανσης φέρει την έγκριση του 60% των πιστωτών, στο οποίο περιλαμβάνεται το 40% των τυχόν εμπράγματων εξασφαλίσεων. Πρόκειται για ρύθμιση που δεσμεύει το σύνολο των πιστωτών της επιχείρησης, οι απαιτήσεις των οποίων ρυθμίζονται, ακόμη και αν δεν είναι συμβαλλόμενοι στη συμφωνία.</w:t>
      </w:r>
      <w:r w:rsidRPr="00D56699">
        <w:rPr>
          <w:rFonts w:eastAsia="Times New Roman"/>
        </w:rPr>
        <w:br/>
        <w:t xml:space="preserve">Για την εξυγίανση της επιχείρησης, η πρόταση αφήνει τη δικαιοδοσία που θα κρίνει τη βιωσιμότητά της στις τράπεζες, οι οποίες σε συνεργασία με τις διοικήσεις μπορούν να επιστρατεύσουν όλα τα διαθέσιμα εργαλεία, όπως κεφαλαιοποίηση χρεών και ρύθμιση του δανείου σε συνδυασμό με την αντίστοιχη δυνατότητα διαγραφής οφειλών </w:t>
      </w:r>
      <w:r w:rsidRPr="00E85B11">
        <w:rPr>
          <w:rFonts w:eastAsia="Times New Roman"/>
        </w:rPr>
        <w:t>από προσαυξήσεις προς το Δημόσιο</w:t>
      </w:r>
      <w:r w:rsidRPr="00D56699">
        <w:rPr>
          <w:rFonts w:eastAsia="Times New Roman"/>
        </w:rPr>
        <w:t xml:space="preserve"> και «κούρεμα» οφειλών, ενώ μπορεί να χρησιμοποιηθεί και κάθε άλλο «πρόσφορο μέσο». Οι επιχειρηματίες που θα έχουν καταλήξει σε σχετική συμφωνία με τους πιστωτές μπορούν να κάνουν αίτηση υπαγωγής σύμφωνα με τις διατάξεις του νόμου. Η αίτηση θα πρέπει να συζητηθεί εντός διμήνου από την υποβολή της και το δικαστήριο θα πρέπει εντός μηνός από τη συζήτηση, να αποδεχθεί την αίτηση και να εκδώσει την απόφαση. Το δικαστήριο δύναται να απορρίψει την αίτηση σε περίπτωση που δεν του έχουν παρασχεθεί όλα τα απαιτούμενα στοιχεία, ενώ κατά της απορριπτικής απόφασης επιτρέπεται η υποβολή έφεσης εντός τριάντα ημερών. Η νομοθετική πρόταση του υπουργείου Ανάπτυξης έχει ισχύ δύο ετών, επιχειρώντας να συμβάλει στην επίλυση του </w:t>
      </w:r>
      <w:r w:rsidRPr="00D56699">
        <w:rPr>
          <w:rFonts w:eastAsia="Times New Roman"/>
        </w:rPr>
        <w:lastRenderedPageBreak/>
        <w:t xml:space="preserve">ζητήματος των «κόκκινων» επιχειρηματικών δανείων στο κρίσιμο μεταβατικό διάστημα έως την ανάκαμψη της οικονομίας. Στο πλαίσιο αυτό προτείνονται συγκεκριμένες προθεσμίες για την ένταξη των μικρών επιχειρήσεων με αριθμό εργαζομένων έως 9 άτομα και τζίρο έως 900.000 ευρώ, </w:t>
      </w:r>
      <w:r w:rsidR="002D4B69">
        <w:rPr>
          <w:rFonts w:eastAsia="Times New Roman"/>
        </w:rPr>
        <w:t>κάτι που βρίσκει την ΕΣΕΕ ως επί</w:t>
      </w:r>
      <w:r w:rsidRPr="00D56699">
        <w:rPr>
          <w:rFonts w:eastAsia="Times New Roman"/>
        </w:rPr>
        <w:t xml:space="preserve"> το πλείστον σύμφωνη με τη</w:t>
      </w:r>
      <w:r w:rsidR="00E16DE7">
        <w:rPr>
          <w:rFonts w:eastAsia="Times New Roman"/>
        </w:rPr>
        <w:t>ν</w:t>
      </w:r>
      <w:r w:rsidRPr="00D56699">
        <w:rPr>
          <w:rFonts w:eastAsia="Times New Roman"/>
        </w:rPr>
        <w:t xml:space="preserve"> πρόταση νόμου.</w:t>
      </w:r>
      <w:r w:rsidRPr="00D56699">
        <w:rPr>
          <w:rFonts w:eastAsia="Times New Roman"/>
        </w:rPr>
        <w:br/>
        <w:t xml:space="preserve">Η ίδια πρόταση επιφυλάσσει κίνητρα και για τις τράπεζες, στη λογική της δυνατότητας κάλυψης της ζημίας από τη διαγραφή χρεών από τη φορολογία. </w:t>
      </w:r>
      <w:r w:rsidRPr="003E756E">
        <w:rPr>
          <w:rFonts w:eastAsia="Times New Roman"/>
        </w:rPr>
        <w:t xml:space="preserve">Το θέμα αναμένεται ωστόσο ότι θα εξεταστεί συνολικά στο πλαίσιο της επικείμενης ρύθμισης για την αναβαλλόμενη φορολογία που εξετάζεται για τις τράπεζες. </w:t>
      </w:r>
      <w:r w:rsidRPr="003E756E">
        <w:rPr>
          <w:rFonts w:eastAsia="Times New Roman"/>
        </w:rPr>
        <w:br/>
        <w:t>Όσο</w:t>
      </w:r>
      <w:r w:rsidR="00E16DE7">
        <w:rPr>
          <w:rFonts w:eastAsia="Times New Roman"/>
        </w:rPr>
        <w:t>ν</w:t>
      </w:r>
      <w:r w:rsidRPr="003E756E">
        <w:rPr>
          <w:rFonts w:eastAsia="Times New Roman"/>
        </w:rPr>
        <w:t xml:space="preserve"> αφορά την επεξεργασία του σχεδίου ρύθμισης των "κόκκινων" δανείων, από την Τράπεζα της Ελλάδος, είτε είναι επιχειρηματικά, είτε στεγαστικά παρουσιάζονται τρείς λύσεις με βάση το ελάχιστο ενοίκιο, δίνοντας</w:t>
      </w:r>
      <w:r w:rsidRPr="00D56699">
        <w:rPr>
          <w:rFonts w:eastAsia="Times New Roman"/>
        </w:rPr>
        <w:t xml:space="preserve"> αντίστοιχες τρεις επιλογές στο</w:t>
      </w:r>
      <w:r w:rsidR="00E16DE7">
        <w:rPr>
          <w:rFonts w:eastAsia="Times New Roman"/>
        </w:rPr>
        <w:t>υς υπερχρεωμένους δανειολήπτες:</w:t>
      </w:r>
    </w:p>
    <w:p w:rsidR="002D4B69" w:rsidRDefault="009061A6" w:rsidP="002D4B69">
      <w:pPr>
        <w:pStyle w:val="a3"/>
        <w:numPr>
          <w:ilvl w:val="0"/>
          <w:numId w:val="7"/>
        </w:numPr>
        <w:rPr>
          <w:rFonts w:eastAsia="Times New Roman"/>
        </w:rPr>
      </w:pPr>
      <w:r w:rsidRPr="002D4B69">
        <w:rPr>
          <w:rFonts w:eastAsia="Times New Roman"/>
        </w:rPr>
        <w:t>Σύμβαση Χρηματοδοτικής μίσθωσης (leasing) μεταβιβάζοντας την κυριότητα και μισθώνοντας το ακίνητο γι</w:t>
      </w:r>
      <w:r w:rsidR="002D4B69">
        <w:rPr>
          <w:rFonts w:eastAsia="Times New Roman"/>
        </w:rPr>
        <w:t>α τουλάχιστον μια πενταετία.</w:t>
      </w:r>
    </w:p>
    <w:p w:rsidR="002D4B69" w:rsidRDefault="009061A6" w:rsidP="002D4B69">
      <w:pPr>
        <w:pStyle w:val="a3"/>
        <w:numPr>
          <w:ilvl w:val="0"/>
          <w:numId w:val="7"/>
        </w:numPr>
        <w:rPr>
          <w:rFonts w:eastAsia="Times New Roman"/>
        </w:rPr>
      </w:pPr>
      <w:r w:rsidRPr="002D4B69">
        <w:rPr>
          <w:rFonts w:eastAsia="Times New Roman"/>
        </w:rPr>
        <w:t>Πώληση και ενοικίαση ακινήτου (sale and lease back) με παραχώρηση του δικαιώματος διαμονής για μία ελάχιστ</w:t>
      </w:r>
      <w:r w:rsidR="002D4B69">
        <w:rPr>
          <w:rFonts w:eastAsia="Times New Roman"/>
        </w:rPr>
        <w:t>η περίοδο έναντι μισθώματος.</w:t>
      </w:r>
    </w:p>
    <w:p w:rsidR="002D4B69" w:rsidRDefault="009061A6" w:rsidP="002D4B69">
      <w:pPr>
        <w:pStyle w:val="a3"/>
        <w:numPr>
          <w:ilvl w:val="0"/>
          <w:numId w:val="7"/>
        </w:numPr>
        <w:rPr>
          <w:rFonts w:eastAsia="Times New Roman"/>
        </w:rPr>
      </w:pPr>
      <w:r w:rsidRPr="002D4B69">
        <w:rPr>
          <w:rFonts w:eastAsia="Times New Roman"/>
        </w:rPr>
        <w:t>Εθελοντική παράδοση του ενυπόθηκου ακινήτου σε περίπτωση πλήρους οικονομικής αδυναμίας ν</w:t>
      </w:r>
      <w:r w:rsidR="003719AF">
        <w:rPr>
          <w:rFonts w:eastAsia="Times New Roman"/>
        </w:rPr>
        <w:t>α</w:t>
      </w:r>
      <w:r w:rsidRPr="002D4B69">
        <w:rPr>
          <w:rFonts w:eastAsia="Times New Roman"/>
        </w:rPr>
        <w:t xml:space="preserve"> κρατή</w:t>
      </w:r>
      <w:r w:rsidR="002D4B69">
        <w:rPr>
          <w:rFonts w:eastAsia="Times New Roman"/>
        </w:rPr>
        <w:t>σει το ακίνητο μέσω ενοικίασης.</w:t>
      </w:r>
    </w:p>
    <w:p w:rsidR="00AD72B9" w:rsidRDefault="009061A6" w:rsidP="002D4B69">
      <w:pPr>
        <w:rPr>
          <w:rFonts w:eastAsia="Times New Roman"/>
        </w:rPr>
      </w:pPr>
      <w:r w:rsidRPr="002D4B69">
        <w:rPr>
          <w:rFonts w:eastAsia="Times New Roman"/>
        </w:rPr>
        <w:t xml:space="preserve">Οι λύσεις του leasing και sale &amp; lease back διευκολύνουν επί της ουσίας τις τράπεζες να μην καταγράψουν τεράστιες ζημιές </w:t>
      </w:r>
      <w:r w:rsidR="002D4B69" w:rsidRPr="002D4B69">
        <w:rPr>
          <w:rFonts w:eastAsia="Times New Roman"/>
        </w:rPr>
        <w:t>από</w:t>
      </w:r>
      <w:r w:rsidRPr="002D4B69">
        <w:rPr>
          <w:rFonts w:eastAsia="Times New Roman"/>
        </w:rPr>
        <w:t xml:space="preserve"> τις χαμηλές τ</w:t>
      </w:r>
      <w:r w:rsidR="002D4B69">
        <w:rPr>
          <w:rFonts w:eastAsia="Times New Roman"/>
        </w:rPr>
        <w:t>ιμές του πλειστηριασμού,</w:t>
      </w:r>
      <w:r w:rsidRPr="002D4B69">
        <w:rPr>
          <w:rFonts w:eastAsia="Times New Roman"/>
        </w:rPr>
        <w:t xml:space="preserve"> αλλά και τους δανειολήπτες να  κερδίσουν 3-5 χρόνια, προσδοκώντας την αντικατάσταση του παλαιού δανείου με νέο μικρότερου υπολοίπου, ώστε να μπορέσει να ανακτήσει τη κυριότητα του ακινήτου.</w:t>
      </w:r>
      <w:r w:rsidRPr="002D4B69">
        <w:rPr>
          <w:rFonts w:eastAsia="Times New Roman"/>
        </w:rPr>
        <w:br/>
        <w:t>Σε περίπτωση οφειλών της επιχείρησης στους εργαζόμενους να προβλέπεται εξόφληση του χρέους σε 12 μήνες, με τη προϋπόθεση ότι εξαιρούνται, από τη ρύθμιση ποσά οφειλών από μη απόδοση ΦΜΥ για μη καταβληθείσες αμοιβές μισθωτών υπηρεσιών. Σε κάθε περίπτωση, στόχος είναι η ενίσχυση της εξωδικαστικής διαδικασίας, με τη συνεννόηση πιστωτών και οφειλετών και υπό την καθοδήγηση ειδικών οικονομικών εμπειρογνωμόνων και συμβούλων.</w:t>
      </w:r>
    </w:p>
    <w:p w:rsidR="00AD72B9" w:rsidRDefault="00AD72B9" w:rsidP="00AD72B9">
      <w:pPr>
        <w:spacing w:line="240" w:lineRule="auto"/>
        <w:rPr>
          <w:rFonts w:eastAsia="Times New Roman"/>
        </w:rPr>
      </w:pPr>
    </w:p>
    <w:p w:rsidR="00AD72B9" w:rsidRDefault="009061A6" w:rsidP="00AD72B9">
      <w:pPr>
        <w:spacing w:line="240" w:lineRule="auto"/>
        <w:rPr>
          <w:rFonts w:eastAsia="Times New Roman"/>
          <w:b/>
          <w:u w:val="single"/>
        </w:rPr>
      </w:pPr>
      <w:r w:rsidRPr="00AD72B9">
        <w:rPr>
          <w:rFonts w:eastAsia="Times New Roman"/>
          <w:b/>
          <w:u w:val="single"/>
        </w:rPr>
        <w:t>V. ΕΞΥΓΙΑΝΣΗ ΠΡΟΒΛΗΜΑΤΙΚΩΝ ΕΠΙΧΕΙΡΗΣΕΩΝ ΚΑΙ "ΕΚΤΑΚΤΗ ΔΙΑΔΙΚΑΣΙΑ ΕΙΔΙΚΗΣ ΔΙΑΧΕΙΡΙΣΗΣ"</w:t>
      </w:r>
    </w:p>
    <w:p w:rsidR="002B12D0" w:rsidRDefault="009061A6" w:rsidP="00AD72B9">
      <w:pPr>
        <w:spacing w:before="120"/>
        <w:rPr>
          <w:rFonts w:eastAsia="Times New Roman"/>
        </w:rPr>
      </w:pPr>
      <w:r w:rsidRPr="002D4B69">
        <w:rPr>
          <w:rFonts w:eastAsia="Times New Roman"/>
        </w:rPr>
        <w:t xml:space="preserve">Η πρόταση νόμου δίνει επίσης τη δυνατότητα για υπαγωγή στη διαδικασία ρύθμισης οφειλών επιχειρήσεων, χωρίς δεσμευτική ισχύ για το σύνολο των πιστωτών με την προϋπόθεση ότι στη ρύθμιση συναινεί το 50% του συνόλου των απαιτήσεων, στο οποίο περιλαμβάνεται το 30% των τυχόν εμπράγματων απαιτήσεων και ότι σε αυτή συναινούν ένα ή περισσότερα πιστωτικά ιδρύματα. Οι επιχειρηματίες μπορούν να κάνουν τη σχετική αίτηση, συνοδευόμενη από έκθεση εμπειρογνώμονα της επιλογής του οφειλέτη. Η αίτηση πρέπει να εκδικαστεί εντός διμήνου από το αρμόδιο Πολυμελές Πρωτοδικείο και η απόφαση θα πρέπει να εκδοθεί εντός ενός μήνα από τη συζήτηση. Αν και η νέα νομοθετική πρόταση που έχει επεξεργαστεί το υπουργείο δεν ενδίδει στις </w:t>
      </w:r>
    </w:p>
    <w:p w:rsidR="00581981" w:rsidRDefault="009061A6" w:rsidP="002D4B69">
      <w:pPr>
        <w:rPr>
          <w:rFonts w:eastAsia="Times New Roman"/>
        </w:rPr>
      </w:pPr>
      <w:r w:rsidRPr="002D4B69">
        <w:rPr>
          <w:rFonts w:eastAsia="Times New Roman"/>
        </w:rPr>
        <w:t>τραπεζικές πιέσεις για ανάληψη του μάνατζμεντ υπερχρεωμένων επιχειρήσεων από τις τράπεζες, χωρίς την έγκριση της γενικής συνέλευσης των μετόχων, τους δίδει ένα σημαντικό όπλο για την ταχεία εκκαθάριση επιχειρήσεων που βρίσκονται στο χείλος του γκρεμού και δεν έχουν χαρακτηριστικά βιωσιμότητας. Πρόκειται για τη δυνατότητα που δίνει στο 40% των πιστωτών (το ποσοστό είναι υπό διαβούλευση με τις τράπεζες) να προχωρήσουν, υπό την καθοδήγηση του ειδικού διαχειριστή, ο οποίος θα είναι ελεγκτής ή ελεγκτικό γραφείο, στην πώληση ή την εκκαθάριση εν λειτουργία της επιχείρησης. Η διαδικασία ονομάζεται «</w:t>
      </w:r>
      <w:r w:rsidR="002B12D0" w:rsidRPr="002D4B69">
        <w:rPr>
          <w:rFonts w:eastAsia="Times New Roman"/>
        </w:rPr>
        <w:t>Έκτακτη</w:t>
      </w:r>
      <w:r w:rsidRPr="002D4B69">
        <w:rPr>
          <w:rFonts w:eastAsia="Times New Roman"/>
        </w:rPr>
        <w:t xml:space="preserve"> διαδικασία ειδικής διαχείρισης» και οι προθεσμίες υποβολής της αίτησης στο δικαστήριο από τους πιστωτές και έκδοσης της απόφασης από το Πολυμελές Πρωτοδικείο είναι ανάλογες με αυτές των συναινετικών λύσεων. Με την αποδοχή της αίτησης, το δικαστήριο ορίζει τον προτεινόμενο από τους αιτούντες ειδικό εκκαθαριστή, ο οποίος αναλαμβάνει την εξουσία των καταστατικών οργάνων της διοίκησης και διαχείρισης της επιχείρησης. Ο ίδιος συγκαλεί μέσα σε 45 ημέρες από την εγκατάστασή του στην επιχείρηση, τη συνέλευση των μετόχων στην οποία εισηγείται τη διενέργεια πλειοδοτικού διαγωνισμού για την αγορά του συνόλου της επιχείρησης ή μέρους των περιουσιακών της στοιχείων. Η συνέλευση αποφασίζει με απλή πλειοψηφία </w:t>
      </w:r>
      <w:r w:rsidRPr="002D4B69">
        <w:rPr>
          <w:rFonts w:eastAsia="Times New Roman"/>
        </w:rPr>
        <w:lastRenderedPageBreak/>
        <w:t>και στην περίπτωση που απορρίψει την πρόταση, ο οφειλέτης οδηγείται σε πτώχευση, ενώ διαφορετικά υλοποιείται το σχέδιο πώλησης της επιχείρησης. Η ΕΣΕΕ συμφωνεί και εκτιμά ότι η απειλή για ταχεία εκκαθάριση της επιχείρησης θα λειτουργήσει ως μέσο πίεσης προς τις διοικήσεις που δεν συναινούν σε πρόγραμμα αναδιάρθρωσης, κάνοντας κατάχρηση της ιδιότητας του μετόχου.</w:t>
      </w:r>
    </w:p>
    <w:p w:rsidR="00581981" w:rsidRDefault="009061A6" w:rsidP="00581981">
      <w:pPr>
        <w:rPr>
          <w:rFonts w:eastAsia="Times New Roman"/>
          <w:b/>
          <w:u w:val="single"/>
        </w:rPr>
      </w:pPr>
      <w:r w:rsidRPr="002D4B69">
        <w:rPr>
          <w:rFonts w:eastAsia="Times New Roman"/>
        </w:rPr>
        <w:br/>
      </w:r>
      <w:r w:rsidRPr="00AD72B9">
        <w:rPr>
          <w:rFonts w:eastAsia="Times New Roman"/>
          <w:b/>
          <w:u w:val="single"/>
        </w:rPr>
        <w:t xml:space="preserve">VI. ΝΟΜΟΘΕΤΙΚΗ ΚΑΤΑΡΓΗΣΗ ΔΙΟΙΚΗΤΙΚΩΝ ΚΑΙ ΠΟΙΝΙΚΩΝ ΚΥΡΩΣΕΩΝ ΤΩΝ "ΕΝΤΟΣ ΚΡΙΣΗΣ ΜΜΕ" </w:t>
      </w:r>
      <w:r w:rsidRPr="00AD72B9">
        <w:rPr>
          <w:rFonts w:eastAsia="Times New Roman"/>
          <w:b/>
        </w:rPr>
        <w:br/>
      </w:r>
      <w:r w:rsidRPr="00E16DE7">
        <w:rPr>
          <w:rFonts w:eastAsia="Times New Roman"/>
        </w:rPr>
        <w:t>Προτείνεται η αναθεώρηση των δ</w:t>
      </w:r>
      <w:r w:rsidR="002B12D0" w:rsidRPr="00E16DE7">
        <w:rPr>
          <w:rFonts w:eastAsia="Times New Roman"/>
        </w:rPr>
        <w:t>ιοικητικών και ποινικών κυρώσεων στη φορολογική νομοθεσία του ν</w:t>
      </w:r>
      <w:r w:rsidRPr="00E16DE7">
        <w:rPr>
          <w:rFonts w:eastAsia="Times New Roman"/>
        </w:rPr>
        <w:t>. 2523/1997 καθώς και η διαγραφή των</w:t>
      </w:r>
      <w:r w:rsidRPr="002D4B69">
        <w:rPr>
          <w:rFonts w:eastAsia="Times New Roman"/>
        </w:rPr>
        <w:t xml:space="preserve"> καταχρηστικών προσαυξήσεων και των υπερβολικών προστίμων από ληξιπρόθεσμες οφειλές προς το Δημόσιο με μακροπρόθεσμη ρύθμιση των οφειλών με δόσεις που φθάνουν έως και τις 100. Αντίστοιχη ρύθμιση να ισχύσει και για το τυχόν υπόλοιπο των προσαυξήσεων που δεν έχει διαγραφεί. Η αναδιάρθρωση των οφειλών προς το Δημόσιο και τους ασφαλιστικούς φορείς θα πρέπει να γίνει με τη </w:t>
      </w:r>
      <w:r w:rsidRPr="003719AF">
        <w:rPr>
          <w:rFonts w:eastAsia="Times New Roman"/>
          <w:b/>
        </w:rPr>
        <w:t xml:space="preserve">διαγραφή των πάσης φύσεως προσαυξήσεων και προστίμων </w:t>
      </w:r>
      <w:r w:rsidRPr="002D4B69">
        <w:rPr>
          <w:rFonts w:eastAsia="Times New Roman"/>
        </w:rPr>
        <w:t xml:space="preserve">που έχουν επιβληθεί ως προς οφειλές που κατέστησαν υπερήμερες </w:t>
      </w:r>
      <w:r w:rsidRPr="003719AF">
        <w:rPr>
          <w:rFonts w:eastAsia="Times New Roman"/>
          <w:b/>
        </w:rPr>
        <w:t>κατά την περίοδο από 1ης Ιανουαρίου του 2010 έως και σήμερα</w:t>
      </w:r>
      <w:r w:rsidRPr="002D4B69">
        <w:rPr>
          <w:rFonts w:eastAsia="Times New Roman"/>
        </w:rPr>
        <w:t>. Η εξόφληση των οφειλών της επιχείρησης προς την εφορία και το ΙΚΑ</w:t>
      </w:r>
      <w:r w:rsidR="00E16DE7">
        <w:rPr>
          <w:rFonts w:eastAsia="Times New Roman"/>
        </w:rPr>
        <w:t>,</w:t>
      </w:r>
      <w:r w:rsidRPr="002D4B69">
        <w:rPr>
          <w:rFonts w:eastAsia="Times New Roman"/>
        </w:rPr>
        <w:t xml:space="preserve"> όπως αυτές έχουν σήμερα</w:t>
      </w:r>
      <w:r w:rsidR="00E16DE7">
        <w:rPr>
          <w:rFonts w:eastAsia="Times New Roman"/>
        </w:rPr>
        <w:t>,</w:t>
      </w:r>
      <w:r w:rsidRPr="002D4B69">
        <w:rPr>
          <w:rFonts w:eastAsia="Times New Roman"/>
        </w:rPr>
        <w:t xml:space="preserve"> να γίνουν σε ισόποσες άτοκες μηνιαίες δόσεις και να εκτείνεται σε περίοδο μέχρι 10 ετών, ενώ η ίδια περίοδος αποπληρωμής να ισχύει για το μη διαγραφέν τμήμα των προσαυξήσεων και των προστίμων.</w:t>
      </w:r>
      <w:r w:rsidRPr="002D4B69">
        <w:rPr>
          <w:rFonts w:eastAsia="Times New Roman"/>
        </w:rPr>
        <w:br/>
        <w:t>Για τις επιχειρήσεις</w:t>
      </w:r>
      <w:r w:rsidR="00E16DE7">
        <w:rPr>
          <w:rFonts w:eastAsia="Times New Roman"/>
        </w:rPr>
        <w:t>,</w:t>
      </w:r>
      <w:r w:rsidRPr="002D4B69">
        <w:rPr>
          <w:rFonts w:eastAsia="Times New Roman"/>
        </w:rPr>
        <w:t xml:space="preserve"> τους διαχειριστές και τους μετόχους τους, η ρύθμιση, εκτός από τη δυνατότητα διάσωσης της επιχείρησης, θα πρέπει να συνεπάγεται την </w:t>
      </w:r>
      <w:r w:rsidRPr="003719AF">
        <w:rPr>
          <w:rFonts w:eastAsia="Times New Roman"/>
          <w:b/>
        </w:rPr>
        <w:t>αναστολή της ποινικής δίωξης</w:t>
      </w:r>
      <w:r w:rsidRPr="002D4B69">
        <w:rPr>
          <w:rFonts w:eastAsia="Times New Roman"/>
        </w:rPr>
        <w:t xml:space="preserve">, την </w:t>
      </w:r>
      <w:r w:rsidRPr="003719AF">
        <w:rPr>
          <w:rFonts w:eastAsia="Times New Roman"/>
          <w:b/>
        </w:rPr>
        <w:t>άρση των πάσης φύσεως διοικητικών μέτρων</w:t>
      </w:r>
      <w:r w:rsidRPr="002D4B69">
        <w:rPr>
          <w:rFonts w:eastAsia="Times New Roman"/>
        </w:rPr>
        <w:t xml:space="preserve"> που λαμβάνονται εξαιτίας πράξεων ή παραλείψεων, ώστε κάθε μορφής δίωξη να παύει αυτόματα.</w:t>
      </w:r>
      <w:r w:rsidRPr="002D4B69">
        <w:rPr>
          <w:rFonts w:eastAsia="Times New Roman"/>
        </w:rPr>
        <w:br/>
        <w:t xml:space="preserve">Όλες οι προτάσεις της ΕΣΕΕ σε καμία περίπτωση δεν δημιουργούν μαύρες τρύπες, δεν θέτουν σε κίνδυνο τις καταθέσεις φυσικών και νομικών προσώπων στις συστημικές και τις συνεταιριστικές ελληνικές τράπεζες, ούτε βεβαίως </w:t>
      </w:r>
      <w:r w:rsidRPr="002D4B69">
        <w:rPr>
          <w:rFonts w:eastAsia="Times New Roman"/>
        </w:rPr>
        <w:lastRenderedPageBreak/>
        <w:t>σκοπεύουν να χαρίσουν κεφάλαιο δανεισμού στους "</w:t>
      </w:r>
      <w:r w:rsidR="002B12D0" w:rsidRPr="002D4B69">
        <w:rPr>
          <w:rFonts w:eastAsia="Times New Roman"/>
        </w:rPr>
        <w:t>προ</w:t>
      </w:r>
      <w:r w:rsidRPr="002D4B69">
        <w:rPr>
          <w:rFonts w:eastAsia="Times New Roman"/>
        </w:rPr>
        <w:t xml:space="preserve"> κρίσης" ασυνεπείς δανειολήπτες και μόνιμους οφειλέτες του Δημοσίου. Επιπλέον θα πρέπει να γίνει κατανοητό ότι η </w:t>
      </w:r>
      <w:r w:rsidRPr="003719AF">
        <w:rPr>
          <w:rFonts w:eastAsia="Times New Roman"/>
          <w:b/>
        </w:rPr>
        <w:t>νομοθετική στήριξη μιας "εντός κρίσης</w:t>
      </w:r>
      <w:r w:rsidRPr="002D4B69">
        <w:rPr>
          <w:rFonts w:eastAsia="Times New Roman"/>
        </w:rPr>
        <w:t xml:space="preserve">" επιχείρησης δεν σημαίνει ασυλία, αλλά </w:t>
      </w:r>
      <w:r w:rsidRPr="003719AF">
        <w:rPr>
          <w:rFonts w:eastAsia="Times New Roman"/>
          <w:b/>
        </w:rPr>
        <w:t>μία δεύτερη ευκαιρία</w:t>
      </w:r>
      <w:r w:rsidRPr="002D4B69">
        <w:rPr>
          <w:rFonts w:eastAsia="Times New Roman"/>
        </w:rPr>
        <w:t>  να πληρώσει τις υποχρεώσεις της προς την αγορά και το δημόσιο.</w:t>
      </w:r>
      <w:r w:rsidRPr="002D4B69">
        <w:rPr>
          <w:rFonts w:eastAsia="Times New Roman"/>
        </w:rPr>
        <w:br/>
        <w:t>Το ζητούμενο είναι μια εξωδικαστική λύση "αλά</w:t>
      </w:r>
      <w:r w:rsidR="002B12D0">
        <w:rPr>
          <w:rFonts w:eastAsia="Times New Roman"/>
        </w:rPr>
        <w:t xml:space="preserve"> </w:t>
      </w:r>
      <w:r w:rsidRPr="002D4B69">
        <w:rPr>
          <w:rFonts w:eastAsia="Times New Roman"/>
        </w:rPr>
        <w:t>-</w:t>
      </w:r>
      <w:r w:rsidR="002B12D0">
        <w:rPr>
          <w:rFonts w:eastAsia="Times New Roman"/>
        </w:rPr>
        <w:t xml:space="preserve"> </w:t>
      </w:r>
      <w:r w:rsidR="002B12D0" w:rsidRPr="002D4B69">
        <w:rPr>
          <w:rFonts w:eastAsia="Times New Roman"/>
        </w:rPr>
        <w:t>καρτ</w:t>
      </w:r>
      <w:r w:rsidRPr="002D4B69">
        <w:rPr>
          <w:rFonts w:eastAsia="Times New Roman"/>
        </w:rPr>
        <w:t xml:space="preserve">" με κούρεμα των καταχρηστικών χρεώσεων, αύξηση των δόσεων και μείωση του ποσού της δόσης και του επιτοκίου δανεισμού από τις τράπεζες, καθώς και μία εύλογη πίστωση χρόνου, το πολύ 12 μηνών, για την εξόφληση των προμηθευτών, αλλά και των εργαζομένων της προβληματικής επιχείρησης. </w:t>
      </w:r>
      <w:r w:rsidRPr="002D4B69">
        <w:rPr>
          <w:rFonts w:eastAsia="Times New Roman"/>
        </w:rPr>
        <w:br/>
        <w:t xml:space="preserve">Υπενθυμίζουμε έτσι τα </w:t>
      </w:r>
      <w:r w:rsidR="002B12D0" w:rsidRPr="002D4B69">
        <w:rPr>
          <w:rFonts w:eastAsia="Times New Roman"/>
        </w:rPr>
        <w:t>προ</w:t>
      </w:r>
      <w:r w:rsidRPr="002D4B69">
        <w:rPr>
          <w:rFonts w:eastAsia="Times New Roman"/>
        </w:rPr>
        <w:t xml:space="preserve"> 4ετίας αιτήματα της ΕΣΕΕ όπως "δανείστε μας χρόνο, αντί για χρήμα" και "στηρίξτε νομοθετικά την εντός </w:t>
      </w:r>
      <w:r w:rsidR="002B12D0">
        <w:rPr>
          <w:rFonts w:eastAsia="Times New Roman"/>
        </w:rPr>
        <w:t>κρίσης μικρομεσαία επιχείρηση".  Ή</w:t>
      </w:r>
      <w:r w:rsidRPr="002D4B69">
        <w:rPr>
          <w:rFonts w:eastAsia="Times New Roman"/>
        </w:rPr>
        <w:t>ρθε η ώρα, έστω και πολύ καθυστερημένα, να υλοποιηθούν.</w:t>
      </w:r>
      <w:r w:rsidRPr="002D4B69">
        <w:rPr>
          <w:rFonts w:eastAsia="Times New Roman"/>
        </w:rPr>
        <w:br/>
      </w:r>
    </w:p>
    <w:p w:rsidR="00AD72B9" w:rsidRDefault="009061A6" w:rsidP="002D4B69">
      <w:pPr>
        <w:rPr>
          <w:rFonts w:eastAsia="Times New Roman"/>
        </w:rPr>
      </w:pPr>
      <w:r w:rsidRPr="00AD72B9">
        <w:rPr>
          <w:rFonts w:eastAsia="Times New Roman"/>
          <w:b/>
          <w:u w:val="single"/>
        </w:rPr>
        <w:t>VII. ΑΠΟΚΑΤΑΣΤΑΣΗ ΤΩΝ ΑΔΙΚΙΩΝ ΤΗΣ ΥΠΕΡΦΟΡΟΛΟΓΗΣΗΣ ΤΩΝ ΜΜΕ</w:t>
      </w:r>
      <w:r w:rsidRPr="00AD72B9">
        <w:rPr>
          <w:rFonts w:eastAsia="Times New Roman"/>
          <w:b/>
        </w:rPr>
        <w:br/>
      </w:r>
      <w:r w:rsidRPr="002D4B69">
        <w:rPr>
          <w:rFonts w:eastAsia="Times New Roman"/>
        </w:rPr>
        <w:t xml:space="preserve">Το φορολογικό σύστημα αποτελεί το βασικότερο εργαλείο άσκησης δημοσιονομικής πολιτικής στα χέρια της εκάστοτε Κυβέρνησης, προκειμένου να καταστεί εφικτή η μεταβίβαση πόρων για τη χρηματοδότηση των αναγκών του Δημοσίου. Η συγκεκριμένη μεταφορά πρέπει να υλοποιείται με το χαμηλότερο δημοσιονομικό κόστος και να εγγυάται την αύξηση του παραγόμενου προϊόντος με παράλληλη διασφάλιση της δίκαιης διανομής του,  μεταξύ των πολιτών.  </w:t>
      </w:r>
      <w:r w:rsidRPr="002D4B69">
        <w:rPr>
          <w:rFonts w:eastAsia="Times New Roman"/>
        </w:rPr>
        <w:br/>
        <w:t xml:space="preserve">Δυστυχώς, το υφιστάμενο πλαίσιο που διέπει το φορολογικό μας σύστημα, ακόμη και κατόπιν της υιοθέτησης πληθώρας προσφάτως νομοθετημένων αλλαγών, βρίθει πολύπλοκων, δυσνόητων και άδικων διατάξεων, οι οποίες στερούν τη δυνατότητα των υπόχρεων για απρόσκοπτη και εμπρόθεσμη ρύθμιση των φορολογικών τους υποχρεώσεων. Παράλληλα, η ευμεταβλητότητα που το χαρακτηρίζει αποτελεί έναν έντονα ανασταλτικό παράγοντα στην τόνωση της ανταγωνιστικότητας της ελληνικής οικονομίας, με αποτέλεσμα την περιορισμένη προσέλκυση ξένων επενδύσεων, αποδυναμώνοντας ταυτόχρονα τα όποια </w:t>
      </w:r>
      <w:r w:rsidRPr="002D4B69">
        <w:rPr>
          <w:rFonts w:eastAsia="Times New Roman"/>
        </w:rPr>
        <w:lastRenderedPageBreak/>
        <w:t>κίνητρα ανάληψης εγχώριων επιχειρηματικών πρωτοβουλιών.</w:t>
      </w:r>
      <w:r w:rsidRPr="002D4B69">
        <w:rPr>
          <w:rFonts w:eastAsia="Times New Roman"/>
        </w:rPr>
        <w:br/>
        <w:t>Συνοπτικά δεν είναι υπερβολή να υποστηρίξουμε πως τα μέχρι στιγμής ληφθέντα φορολογικά μέτρα έχουν πλήξει κυρίως τους συνεπείς φορολογουμένους και επιχειρήσεις, καθιστώντας με αυτόν τρόπο αδύνατη την επίτευξη/ικανοποίηση του βασικού ρόλου που καλείται να διαδραματίσει η φορολογική διοίκηση και δεν είναι άλλος από τη δίκαιη κατανομή των φορολογικών βα</w:t>
      </w:r>
      <w:r w:rsidR="007C681E">
        <w:rPr>
          <w:rFonts w:eastAsia="Times New Roman"/>
        </w:rPr>
        <w:t>ρών μεταξύ των πο</w:t>
      </w:r>
      <w:r w:rsidR="00DF238F">
        <w:rPr>
          <w:rFonts w:eastAsia="Times New Roman"/>
        </w:rPr>
        <w:t>λιτών. Η Εθνική Συνομοσπονδία Ελληνικού Εμπορίου</w:t>
      </w:r>
      <w:r w:rsidRPr="002D4B69">
        <w:rPr>
          <w:rFonts w:eastAsia="Times New Roman"/>
        </w:rPr>
        <w:t xml:space="preserve">, ως άμεσος εκφραστής των αναγκών του επιχειρηματικού κόσμου, θεωρεί ως καθήκον της την υποβολή επικαιροποιημένων, τεκμηριωμένων και στοχευμένων προτάσεων, οι οποίες θα συμβάλλουν στη λήψη αποφάσεων που όχι μόνο θα ανακουφίζουν και θα προασπίζουν τα συμφέροντα των μικρομεσαίων εμπόρων αλλά κυρίως θα συντελούν στη διαμόρφωση ενός φορολογικού πλαισίου,  ιδιαίτερα φιλικού προς το επιχειρείν και το οποίο θα διακρίνεται από τον έντονα αναπτυξιακό του χαρακτήρα. </w:t>
      </w:r>
      <w:r w:rsidRPr="002D4B69">
        <w:rPr>
          <w:rFonts w:eastAsia="Times New Roman"/>
        </w:rPr>
        <w:br/>
        <w:t xml:space="preserve">Η αποκατάσταση των αδικιών όμως έχει προτεραιότητες και η πρώτη </w:t>
      </w:r>
      <w:r w:rsidR="00625048" w:rsidRPr="002D4B69">
        <w:rPr>
          <w:rFonts w:eastAsia="Times New Roman"/>
        </w:rPr>
        <w:t>από</w:t>
      </w:r>
      <w:r w:rsidRPr="002D4B69">
        <w:rPr>
          <w:rFonts w:eastAsia="Times New Roman"/>
        </w:rPr>
        <w:t xml:space="preserve"> αυτές είναι η </w:t>
      </w:r>
      <w:r w:rsidRPr="00C225F5">
        <w:rPr>
          <w:rFonts w:eastAsia="Times New Roman"/>
          <w:b/>
        </w:rPr>
        <w:t>μείωση των συντελεστών φόρου στο πετρέλαιο θέρμανσης κατά 15-</w:t>
      </w:r>
      <w:r w:rsidR="00625048" w:rsidRPr="00C225F5">
        <w:rPr>
          <w:rFonts w:eastAsia="Times New Roman"/>
          <w:b/>
        </w:rPr>
        <w:t>20%</w:t>
      </w:r>
      <w:r w:rsidR="00625048">
        <w:rPr>
          <w:rFonts w:eastAsia="Times New Roman"/>
        </w:rPr>
        <w:t>, καθώς τα στοιχεία του Υπουργείου Οικονομικών</w:t>
      </w:r>
      <w:r w:rsidRPr="002D4B69">
        <w:rPr>
          <w:rFonts w:eastAsia="Times New Roman"/>
        </w:rPr>
        <w:t xml:space="preserve"> δείχνουν ότι το μέτρο της εξίσωσης του πετρελαίου θέρμανσης με το πετρέλαιο κίνησης απέτυχε.</w:t>
      </w:r>
      <w:r w:rsidRPr="002D4B69">
        <w:rPr>
          <w:rFonts w:eastAsia="Times New Roman"/>
        </w:rPr>
        <w:br/>
        <w:t xml:space="preserve">Η δεύτερη αδικία είναι η </w:t>
      </w:r>
      <w:r w:rsidRPr="00C225F5">
        <w:rPr>
          <w:rFonts w:eastAsia="Times New Roman"/>
          <w:b/>
        </w:rPr>
        <w:t>υπερβολική φορολογική επιβαρύνσεων στα Ι.Χ</w:t>
      </w:r>
      <w:r w:rsidRPr="002D4B69">
        <w:rPr>
          <w:rFonts w:eastAsia="Times New Roman"/>
        </w:rPr>
        <w:t>. αυτοκίνητα. Προτείνεται λοιπόν η μείωση των φόρων πολυτελούς διαβίωσης και η κατάργηση του φόρου πολυτελείας καθώς και η μείωση των τελών κυκλοφορίας στα προηγούμενα επίπεδα.</w:t>
      </w:r>
      <w:r w:rsidRPr="002D4B69">
        <w:rPr>
          <w:rFonts w:eastAsia="Times New Roman"/>
        </w:rPr>
        <w:br/>
      </w:r>
      <w:r w:rsidR="00625048" w:rsidRPr="002D4B69">
        <w:rPr>
          <w:rFonts w:eastAsia="Times New Roman"/>
        </w:rPr>
        <w:t>Τα</w:t>
      </w:r>
      <w:r w:rsidRPr="002D4B69">
        <w:rPr>
          <w:rFonts w:eastAsia="Times New Roman"/>
        </w:rPr>
        <w:t xml:space="preserve"> </w:t>
      </w:r>
      <w:r w:rsidRPr="00C225F5">
        <w:rPr>
          <w:rFonts w:eastAsia="Times New Roman"/>
          <w:b/>
        </w:rPr>
        <w:t>αδικαιολόγητα λάθη του ΕΝΦΙΑ</w:t>
      </w:r>
      <w:r w:rsidRPr="002D4B69">
        <w:rPr>
          <w:rFonts w:eastAsia="Times New Roman"/>
        </w:rPr>
        <w:t xml:space="preserve"> ουσιαστικά εκκρεμούν. Στην ουσία έχουμε έναν μόνιμο διπλό (υπό προϋποθέσεις) φόρο στα ακίνητα, καθώς από τη μία πλευρά έχουμε τον καταλογισμό ενός κύριου/βασικού φόρου για πάσης φύσεως ακίνητα (κτίσματα, οικόπεδα εντός και εκτός σχεδίου πόλεως, αγροτεμάχια, βοσκοτόπους κ.α.), ενώ παράλληλα προβλέπεται και η επιβολή ενός συμπληρωματικού φόρου στους κατόχους ακίνητης περιουσίας, η οποία ξεπερνάει τις 300.000 ευρώ, στα πρότυπα του καταργηθέντος ΦΑΠ.  Θεωρούμε ότι ο διπλός φόρος επιβαρύνει υπέρμετρα ιδιοκτήτες και επιχειρήσεις με σχετικά </w:t>
      </w:r>
      <w:r w:rsidRPr="002D4B69">
        <w:rPr>
          <w:rFonts w:eastAsia="Times New Roman"/>
        </w:rPr>
        <w:lastRenderedPageBreak/>
        <w:t xml:space="preserve">ακίνητα σε μία δύσκολη περίοδο κρίσης και ύφεσης και κατά συνέπεια, προτείνουμε ο πίνακας του συμπληρωματικού ΕΝΦΙΑ να αναθεωρηθεί ώστε ο συμπληρωματικός φόρος σε καμία περίπτωση να μην υπερβαίνει τον κύριο </w:t>
      </w:r>
      <w:r w:rsidR="00581981">
        <w:rPr>
          <w:rFonts w:eastAsia="Times New Roman"/>
        </w:rPr>
        <w:t>φ</w:t>
      </w:r>
      <w:r w:rsidRPr="002D4B69">
        <w:rPr>
          <w:rFonts w:eastAsia="Times New Roman"/>
        </w:rPr>
        <w:t>όρο.</w:t>
      </w:r>
    </w:p>
    <w:tbl>
      <w:tblPr>
        <w:tblW w:w="4521" w:type="pct"/>
        <w:tblInd w:w="392" w:type="dxa"/>
        <w:tblBorders>
          <w:top w:val="threeDEngrave" w:sz="24" w:space="0" w:color="auto"/>
          <w:left w:val="threeDEngrave" w:sz="24" w:space="0" w:color="auto"/>
          <w:bottom w:val="threeDEngrave" w:sz="24" w:space="0" w:color="auto"/>
          <w:right w:val="threeDEngrave" w:sz="24" w:space="0" w:color="auto"/>
          <w:insideH w:val="single" w:sz="4" w:space="0" w:color="auto"/>
          <w:insideV w:val="single" w:sz="4" w:space="0" w:color="auto"/>
        </w:tblBorders>
        <w:tblLook w:val="04A0"/>
      </w:tblPr>
      <w:tblGrid>
        <w:gridCol w:w="1241"/>
        <w:gridCol w:w="1686"/>
        <w:gridCol w:w="1640"/>
        <w:gridCol w:w="1656"/>
        <w:gridCol w:w="1662"/>
      </w:tblGrid>
      <w:tr w:rsidR="00C225F5" w:rsidRPr="007779CA" w:rsidTr="00CA623E">
        <w:trPr>
          <w:trHeight w:val="363"/>
        </w:trPr>
        <w:tc>
          <w:tcPr>
            <w:tcW w:w="5000" w:type="pct"/>
            <w:gridSpan w:val="5"/>
            <w:tcBorders>
              <w:top w:val="threeDEngrave" w:sz="24" w:space="0" w:color="auto"/>
              <w:bottom w:val="threeDEngrave" w:sz="24" w:space="0" w:color="auto"/>
            </w:tcBorders>
            <w:shd w:val="clear" w:color="auto" w:fill="A6A6A6"/>
            <w:vAlign w:val="bottom"/>
          </w:tcPr>
          <w:p w:rsidR="00C225F5" w:rsidRPr="00CD6966" w:rsidRDefault="00C225F5" w:rsidP="00C225F5">
            <w:pPr>
              <w:rPr>
                <w:rFonts w:cs="Times New Roman"/>
                <w:szCs w:val="26"/>
              </w:rPr>
            </w:pPr>
            <w:r w:rsidRPr="00252DA2">
              <w:rPr>
                <w:rFonts w:cs="Times New Roman"/>
                <w:b/>
                <w:szCs w:val="26"/>
              </w:rPr>
              <w:t xml:space="preserve">Πίνακας </w:t>
            </w:r>
            <w:r>
              <w:rPr>
                <w:rFonts w:cs="Times New Roman"/>
                <w:b/>
                <w:szCs w:val="26"/>
              </w:rPr>
              <w:t>1</w:t>
            </w:r>
            <w:r w:rsidRPr="00252DA2">
              <w:rPr>
                <w:rFonts w:cs="Times New Roman"/>
                <w:b/>
                <w:szCs w:val="26"/>
              </w:rPr>
              <w:t>:</w:t>
            </w:r>
            <w:r w:rsidRPr="00CD6966">
              <w:rPr>
                <w:rFonts w:cs="Times New Roman"/>
                <w:szCs w:val="26"/>
              </w:rPr>
              <w:t xml:space="preserve"> Συμπληρωματικός φόρος ΕΝΦΙΑ</w:t>
            </w:r>
          </w:p>
        </w:tc>
      </w:tr>
      <w:tr w:rsidR="00C225F5" w:rsidRPr="007779CA" w:rsidTr="00CA623E">
        <w:trPr>
          <w:trHeight w:hRule="exact" w:val="1021"/>
        </w:trPr>
        <w:tc>
          <w:tcPr>
            <w:tcW w:w="787" w:type="pct"/>
            <w:tcBorders>
              <w:top w:val="threeDEngrave" w:sz="24" w:space="0" w:color="auto"/>
              <w:bottom w:val="threeDEngrave" w:sz="24" w:space="0" w:color="auto"/>
              <w:right w:val="threeDEngrave" w:sz="24" w:space="0" w:color="auto"/>
            </w:tcBorders>
            <w:shd w:val="clear" w:color="auto" w:fill="A6A6A6"/>
            <w:vAlign w:val="center"/>
          </w:tcPr>
          <w:p w:rsidR="00C225F5" w:rsidRPr="00CD6966" w:rsidRDefault="00C225F5" w:rsidP="00CA623E">
            <w:pPr>
              <w:rPr>
                <w:rFonts w:cs="Times New Roman"/>
                <w:szCs w:val="26"/>
              </w:rPr>
            </w:pPr>
            <w:r w:rsidRPr="00CD6966">
              <w:rPr>
                <w:rFonts w:cs="Times New Roman"/>
                <w:szCs w:val="26"/>
              </w:rPr>
              <w:t>Κλιμάκια</w:t>
            </w:r>
          </w:p>
        </w:tc>
        <w:tc>
          <w:tcPr>
            <w:tcW w:w="1069" w:type="pct"/>
            <w:tcBorders>
              <w:top w:val="threeDEngrave" w:sz="24" w:space="0" w:color="auto"/>
              <w:left w:val="threeDEngrave" w:sz="24" w:space="0" w:color="auto"/>
              <w:bottom w:val="threeDEngrave" w:sz="24" w:space="0" w:color="auto"/>
              <w:right w:val="threeDEngrave" w:sz="24" w:space="0" w:color="auto"/>
            </w:tcBorders>
            <w:shd w:val="clear" w:color="auto" w:fill="A6A6A6"/>
            <w:vAlign w:val="center"/>
          </w:tcPr>
          <w:p w:rsidR="00C225F5" w:rsidRPr="00CD6966" w:rsidRDefault="00C225F5" w:rsidP="00CA623E">
            <w:pPr>
              <w:rPr>
                <w:rFonts w:cs="Times New Roman"/>
                <w:szCs w:val="26"/>
              </w:rPr>
            </w:pPr>
            <w:r w:rsidRPr="00CD6966">
              <w:rPr>
                <w:rFonts w:cs="Times New Roman"/>
                <w:szCs w:val="26"/>
              </w:rPr>
              <w:t>Φορολογικός συντελεστής</w:t>
            </w:r>
          </w:p>
        </w:tc>
        <w:tc>
          <w:tcPr>
            <w:tcW w:w="1040" w:type="pct"/>
            <w:tcBorders>
              <w:top w:val="threeDEngrave" w:sz="24" w:space="0" w:color="auto"/>
              <w:left w:val="threeDEngrave" w:sz="24" w:space="0" w:color="auto"/>
              <w:bottom w:val="threeDEngrave" w:sz="24" w:space="0" w:color="auto"/>
              <w:right w:val="threeDEngrave" w:sz="24" w:space="0" w:color="auto"/>
            </w:tcBorders>
            <w:shd w:val="clear" w:color="auto" w:fill="A6A6A6"/>
            <w:vAlign w:val="center"/>
          </w:tcPr>
          <w:p w:rsidR="00C225F5" w:rsidRPr="00CD6966" w:rsidRDefault="00C225F5" w:rsidP="00CA623E">
            <w:pPr>
              <w:rPr>
                <w:rFonts w:cs="Times New Roman"/>
                <w:szCs w:val="26"/>
              </w:rPr>
            </w:pPr>
            <w:r w:rsidRPr="00CD6966">
              <w:rPr>
                <w:rFonts w:cs="Times New Roman"/>
                <w:szCs w:val="26"/>
              </w:rPr>
              <w:t>Φόρος κλιμακίου</w:t>
            </w:r>
          </w:p>
        </w:tc>
        <w:tc>
          <w:tcPr>
            <w:tcW w:w="1050" w:type="pct"/>
            <w:tcBorders>
              <w:top w:val="threeDEngrave" w:sz="24" w:space="0" w:color="auto"/>
              <w:left w:val="threeDEngrave" w:sz="24" w:space="0" w:color="auto"/>
              <w:bottom w:val="threeDEngrave" w:sz="24" w:space="0" w:color="auto"/>
              <w:right w:val="threeDEngrave" w:sz="24" w:space="0" w:color="auto"/>
            </w:tcBorders>
            <w:shd w:val="clear" w:color="auto" w:fill="A6A6A6"/>
            <w:vAlign w:val="center"/>
          </w:tcPr>
          <w:p w:rsidR="00C225F5" w:rsidRPr="00CD6966" w:rsidRDefault="00C225F5" w:rsidP="00CA623E">
            <w:pPr>
              <w:rPr>
                <w:rFonts w:cs="Times New Roman"/>
                <w:szCs w:val="26"/>
              </w:rPr>
            </w:pPr>
            <w:r w:rsidRPr="00CD6966">
              <w:rPr>
                <w:rFonts w:cs="Times New Roman"/>
                <w:szCs w:val="26"/>
              </w:rPr>
              <w:t>Ύψος ακίνητης περιουσίας</w:t>
            </w:r>
          </w:p>
        </w:tc>
        <w:tc>
          <w:tcPr>
            <w:tcW w:w="1054" w:type="pct"/>
            <w:tcBorders>
              <w:top w:val="threeDEngrave" w:sz="24" w:space="0" w:color="auto"/>
              <w:left w:val="threeDEngrave" w:sz="24" w:space="0" w:color="auto"/>
              <w:bottom w:val="threeDEngrave" w:sz="24" w:space="0" w:color="auto"/>
            </w:tcBorders>
            <w:shd w:val="clear" w:color="auto" w:fill="A6A6A6"/>
            <w:vAlign w:val="center"/>
          </w:tcPr>
          <w:p w:rsidR="00C225F5" w:rsidRPr="00CD6966" w:rsidRDefault="00C225F5" w:rsidP="00CA623E">
            <w:pPr>
              <w:rPr>
                <w:rFonts w:cs="Times New Roman"/>
                <w:szCs w:val="26"/>
              </w:rPr>
            </w:pPr>
            <w:r w:rsidRPr="00CD6966">
              <w:rPr>
                <w:rFonts w:cs="Times New Roman"/>
                <w:szCs w:val="26"/>
              </w:rPr>
              <w:t>Αναλογούν φόρος</w:t>
            </w:r>
          </w:p>
        </w:tc>
      </w:tr>
      <w:tr w:rsidR="00C225F5" w:rsidRPr="007779CA" w:rsidTr="00CA623E">
        <w:trPr>
          <w:trHeight w:hRule="exact" w:val="560"/>
        </w:trPr>
        <w:tc>
          <w:tcPr>
            <w:tcW w:w="787" w:type="pct"/>
            <w:tcBorders>
              <w:top w:val="threeDEngrave" w:sz="24" w:space="0" w:color="auto"/>
              <w:bottom w:val="double" w:sz="4" w:space="0" w:color="auto"/>
              <w:right w:val="double" w:sz="4" w:space="0" w:color="auto"/>
            </w:tcBorders>
            <w:vAlign w:val="bottom"/>
          </w:tcPr>
          <w:p w:rsidR="00C225F5" w:rsidRPr="007779CA" w:rsidRDefault="00C225F5" w:rsidP="00CA623E">
            <w:pPr>
              <w:rPr>
                <w:rFonts w:cs="Times New Roman"/>
                <w:szCs w:val="26"/>
              </w:rPr>
            </w:pPr>
            <w:r w:rsidRPr="007779CA">
              <w:rPr>
                <w:rFonts w:cs="Times New Roman"/>
                <w:szCs w:val="26"/>
              </w:rPr>
              <w:t>300.000</w:t>
            </w:r>
          </w:p>
        </w:tc>
        <w:tc>
          <w:tcPr>
            <w:tcW w:w="1069" w:type="pct"/>
            <w:tcBorders>
              <w:top w:val="threeDEngrave" w:sz="24" w:space="0" w:color="auto"/>
              <w:left w:val="double" w:sz="4" w:space="0" w:color="auto"/>
              <w:bottom w:val="double" w:sz="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0%</w:t>
            </w:r>
          </w:p>
        </w:tc>
        <w:tc>
          <w:tcPr>
            <w:tcW w:w="1040" w:type="pct"/>
            <w:tcBorders>
              <w:top w:val="threeDEngrave" w:sz="24" w:space="0" w:color="auto"/>
              <w:left w:val="double" w:sz="4" w:space="0" w:color="auto"/>
              <w:bottom w:val="double" w:sz="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0</w:t>
            </w:r>
          </w:p>
        </w:tc>
        <w:tc>
          <w:tcPr>
            <w:tcW w:w="1050" w:type="pct"/>
            <w:tcBorders>
              <w:top w:val="threeDEngrave" w:sz="24" w:space="0" w:color="auto"/>
              <w:left w:val="double" w:sz="4" w:space="0" w:color="auto"/>
              <w:bottom w:val="double" w:sz="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300.000</w:t>
            </w:r>
          </w:p>
        </w:tc>
        <w:tc>
          <w:tcPr>
            <w:tcW w:w="1054" w:type="pct"/>
            <w:tcBorders>
              <w:top w:val="threeDEngrave" w:sz="24" w:space="0" w:color="auto"/>
              <w:left w:val="double" w:sz="4" w:space="0" w:color="auto"/>
              <w:bottom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0</w:t>
            </w:r>
          </w:p>
        </w:tc>
      </w:tr>
      <w:tr w:rsidR="00C225F5" w:rsidRPr="007779CA" w:rsidTr="00CA623E">
        <w:trPr>
          <w:trHeight w:hRule="exact" w:val="340"/>
        </w:trPr>
        <w:tc>
          <w:tcPr>
            <w:tcW w:w="787" w:type="pct"/>
            <w:tcBorders>
              <w:top w:val="double" w:sz="4" w:space="0" w:color="auto"/>
              <w:bottom w:val="double" w:sz="4" w:space="0" w:color="auto"/>
              <w:right w:val="double" w:sz="4" w:space="0" w:color="auto"/>
            </w:tcBorders>
            <w:vAlign w:val="bottom"/>
          </w:tcPr>
          <w:p w:rsidR="00C225F5" w:rsidRPr="007779CA" w:rsidRDefault="00C225F5" w:rsidP="00CA623E">
            <w:pPr>
              <w:rPr>
                <w:rFonts w:cs="Times New Roman"/>
                <w:szCs w:val="26"/>
              </w:rPr>
            </w:pPr>
            <w:r w:rsidRPr="007779CA">
              <w:rPr>
                <w:rFonts w:cs="Times New Roman"/>
                <w:szCs w:val="26"/>
              </w:rPr>
              <w:t>100.000</w:t>
            </w:r>
          </w:p>
        </w:tc>
        <w:tc>
          <w:tcPr>
            <w:tcW w:w="1069" w:type="pct"/>
            <w:tcBorders>
              <w:top w:val="double" w:sz="4" w:space="0" w:color="auto"/>
              <w:left w:val="double" w:sz="4" w:space="0" w:color="auto"/>
              <w:bottom w:val="double" w:sz="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0,1%</w:t>
            </w:r>
          </w:p>
        </w:tc>
        <w:tc>
          <w:tcPr>
            <w:tcW w:w="1040" w:type="pct"/>
            <w:tcBorders>
              <w:top w:val="double" w:sz="4" w:space="0" w:color="auto"/>
              <w:left w:val="double" w:sz="4" w:space="0" w:color="auto"/>
              <w:bottom w:val="double" w:sz="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100</w:t>
            </w:r>
          </w:p>
        </w:tc>
        <w:tc>
          <w:tcPr>
            <w:tcW w:w="1050" w:type="pct"/>
            <w:tcBorders>
              <w:top w:val="double" w:sz="4" w:space="0" w:color="auto"/>
              <w:left w:val="double" w:sz="4" w:space="0" w:color="auto"/>
              <w:bottom w:val="double" w:sz="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400.000</w:t>
            </w:r>
          </w:p>
        </w:tc>
        <w:tc>
          <w:tcPr>
            <w:tcW w:w="1054" w:type="pct"/>
            <w:tcBorders>
              <w:top w:val="double" w:sz="4" w:space="0" w:color="auto"/>
              <w:left w:val="double" w:sz="4" w:space="0" w:color="auto"/>
              <w:bottom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100</w:t>
            </w:r>
          </w:p>
        </w:tc>
      </w:tr>
      <w:tr w:rsidR="00C225F5" w:rsidRPr="007779CA" w:rsidTr="00CA623E">
        <w:trPr>
          <w:trHeight w:hRule="exact" w:val="340"/>
        </w:trPr>
        <w:tc>
          <w:tcPr>
            <w:tcW w:w="787" w:type="pct"/>
            <w:tcBorders>
              <w:top w:val="double" w:sz="4" w:space="0" w:color="auto"/>
              <w:bottom w:val="double" w:sz="4" w:space="0" w:color="auto"/>
              <w:right w:val="double" w:sz="4" w:space="0" w:color="auto"/>
            </w:tcBorders>
            <w:vAlign w:val="bottom"/>
          </w:tcPr>
          <w:p w:rsidR="00C225F5" w:rsidRPr="007779CA" w:rsidRDefault="00C225F5" w:rsidP="00CA623E">
            <w:pPr>
              <w:rPr>
                <w:rFonts w:cs="Times New Roman"/>
                <w:szCs w:val="26"/>
              </w:rPr>
            </w:pPr>
            <w:r w:rsidRPr="007779CA">
              <w:rPr>
                <w:rFonts w:cs="Times New Roman"/>
                <w:szCs w:val="26"/>
              </w:rPr>
              <w:t>100.000</w:t>
            </w:r>
          </w:p>
        </w:tc>
        <w:tc>
          <w:tcPr>
            <w:tcW w:w="1069" w:type="pct"/>
            <w:tcBorders>
              <w:top w:val="double" w:sz="4" w:space="0" w:color="auto"/>
              <w:left w:val="double" w:sz="4" w:space="0" w:color="auto"/>
              <w:bottom w:val="double" w:sz="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0,2%</w:t>
            </w:r>
          </w:p>
        </w:tc>
        <w:tc>
          <w:tcPr>
            <w:tcW w:w="1040" w:type="pct"/>
            <w:tcBorders>
              <w:top w:val="double" w:sz="4" w:space="0" w:color="auto"/>
              <w:left w:val="double" w:sz="4" w:space="0" w:color="auto"/>
              <w:bottom w:val="double" w:sz="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200</w:t>
            </w:r>
          </w:p>
        </w:tc>
        <w:tc>
          <w:tcPr>
            <w:tcW w:w="1050" w:type="pct"/>
            <w:tcBorders>
              <w:top w:val="double" w:sz="4" w:space="0" w:color="auto"/>
              <w:left w:val="double" w:sz="4" w:space="0" w:color="auto"/>
              <w:bottom w:val="double" w:sz="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500.000</w:t>
            </w:r>
          </w:p>
        </w:tc>
        <w:tc>
          <w:tcPr>
            <w:tcW w:w="1054" w:type="pct"/>
            <w:tcBorders>
              <w:top w:val="double" w:sz="4" w:space="0" w:color="auto"/>
              <w:left w:val="double" w:sz="4" w:space="0" w:color="auto"/>
              <w:bottom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300</w:t>
            </w:r>
          </w:p>
        </w:tc>
      </w:tr>
      <w:tr w:rsidR="00C225F5" w:rsidRPr="007779CA" w:rsidTr="00CA623E">
        <w:trPr>
          <w:trHeight w:hRule="exact" w:val="340"/>
        </w:trPr>
        <w:tc>
          <w:tcPr>
            <w:tcW w:w="787" w:type="pct"/>
            <w:tcBorders>
              <w:top w:val="double" w:sz="4" w:space="0" w:color="auto"/>
              <w:bottom w:val="double" w:sz="4" w:space="0" w:color="auto"/>
              <w:right w:val="double" w:sz="4" w:space="0" w:color="auto"/>
            </w:tcBorders>
            <w:vAlign w:val="bottom"/>
          </w:tcPr>
          <w:p w:rsidR="00C225F5" w:rsidRPr="007779CA" w:rsidRDefault="00C225F5" w:rsidP="00CA623E">
            <w:pPr>
              <w:rPr>
                <w:rFonts w:cs="Times New Roman"/>
                <w:szCs w:val="26"/>
              </w:rPr>
            </w:pPr>
            <w:r w:rsidRPr="007779CA">
              <w:rPr>
                <w:rFonts w:cs="Times New Roman"/>
                <w:szCs w:val="26"/>
              </w:rPr>
              <w:t>100.000</w:t>
            </w:r>
          </w:p>
        </w:tc>
        <w:tc>
          <w:tcPr>
            <w:tcW w:w="1069" w:type="pct"/>
            <w:tcBorders>
              <w:top w:val="double" w:sz="4" w:space="0" w:color="auto"/>
              <w:left w:val="double" w:sz="4" w:space="0" w:color="auto"/>
              <w:bottom w:val="double" w:sz="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0,3%</w:t>
            </w:r>
          </w:p>
        </w:tc>
        <w:tc>
          <w:tcPr>
            <w:tcW w:w="1040" w:type="pct"/>
            <w:tcBorders>
              <w:top w:val="double" w:sz="4" w:space="0" w:color="auto"/>
              <w:left w:val="double" w:sz="4" w:space="0" w:color="auto"/>
              <w:bottom w:val="double" w:sz="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300</w:t>
            </w:r>
          </w:p>
        </w:tc>
        <w:tc>
          <w:tcPr>
            <w:tcW w:w="1050" w:type="pct"/>
            <w:tcBorders>
              <w:top w:val="double" w:sz="4" w:space="0" w:color="auto"/>
              <w:left w:val="double" w:sz="4" w:space="0" w:color="auto"/>
              <w:bottom w:val="double" w:sz="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600.000</w:t>
            </w:r>
          </w:p>
        </w:tc>
        <w:tc>
          <w:tcPr>
            <w:tcW w:w="1054" w:type="pct"/>
            <w:tcBorders>
              <w:top w:val="double" w:sz="4" w:space="0" w:color="auto"/>
              <w:left w:val="double" w:sz="4" w:space="0" w:color="auto"/>
              <w:bottom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600</w:t>
            </w:r>
          </w:p>
        </w:tc>
      </w:tr>
      <w:tr w:rsidR="00C225F5" w:rsidRPr="007779CA" w:rsidTr="00CA623E">
        <w:trPr>
          <w:trHeight w:hRule="exact" w:val="340"/>
        </w:trPr>
        <w:tc>
          <w:tcPr>
            <w:tcW w:w="787" w:type="pct"/>
            <w:tcBorders>
              <w:top w:val="double" w:sz="4" w:space="0" w:color="auto"/>
              <w:bottom w:val="double" w:sz="4" w:space="0" w:color="auto"/>
              <w:right w:val="double" w:sz="4" w:space="0" w:color="auto"/>
            </w:tcBorders>
            <w:vAlign w:val="bottom"/>
          </w:tcPr>
          <w:p w:rsidR="00C225F5" w:rsidRPr="007779CA" w:rsidRDefault="00C225F5" w:rsidP="00CA623E">
            <w:pPr>
              <w:rPr>
                <w:rFonts w:cs="Times New Roman"/>
                <w:szCs w:val="26"/>
              </w:rPr>
            </w:pPr>
            <w:r w:rsidRPr="007779CA">
              <w:rPr>
                <w:rFonts w:cs="Times New Roman"/>
                <w:szCs w:val="26"/>
              </w:rPr>
              <w:t>100.000</w:t>
            </w:r>
          </w:p>
        </w:tc>
        <w:tc>
          <w:tcPr>
            <w:tcW w:w="1069" w:type="pct"/>
            <w:tcBorders>
              <w:top w:val="double" w:sz="4" w:space="0" w:color="auto"/>
              <w:left w:val="double" w:sz="4" w:space="0" w:color="auto"/>
              <w:bottom w:val="double" w:sz="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0,6%</w:t>
            </w:r>
          </w:p>
        </w:tc>
        <w:tc>
          <w:tcPr>
            <w:tcW w:w="1040" w:type="pct"/>
            <w:tcBorders>
              <w:top w:val="double" w:sz="4" w:space="0" w:color="auto"/>
              <w:left w:val="double" w:sz="4" w:space="0" w:color="auto"/>
              <w:bottom w:val="double" w:sz="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600</w:t>
            </w:r>
          </w:p>
        </w:tc>
        <w:tc>
          <w:tcPr>
            <w:tcW w:w="1050" w:type="pct"/>
            <w:tcBorders>
              <w:top w:val="double" w:sz="4" w:space="0" w:color="auto"/>
              <w:left w:val="double" w:sz="4" w:space="0" w:color="auto"/>
              <w:bottom w:val="double" w:sz="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700.000</w:t>
            </w:r>
          </w:p>
        </w:tc>
        <w:tc>
          <w:tcPr>
            <w:tcW w:w="1054" w:type="pct"/>
            <w:tcBorders>
              <w:top w:val="double" w:sz="4" w:space="0" w:color="auto"/>
              <w:left w:val="double" w:sz="4" w:space="0" w:color="auto"/>
              <w:bottom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1.200</w:t>
            </w:r>
          </w:p>
        </w:tc>
      </w:tr>
      <w:tr w:rsidR="00C225F5" w:rsidRPr="007779CA" w:rsidTr="00CA623E">
        <w:trPr>
          <w:trHeight w:hRule="exact" w:val="340"/>
        </w:trPr>
        <w:tc>
          <w:tcPr>
            <w:tcW w:w="787" w:type="pct"/>
            <w:tcBorders>
              <w:top w:val="double" w:sz="4" w:space="0" w:color="auto"/>
              <w:bottom w:val="double" w:sz="4" w:space="0" w:color="auto"/>
              <w:right w:val="double" w:sz="4" w:space="0" w:color="auto"/>
            </w:tcBorders>
            <w:vAlign w:val="bottom"/>
          </w:tcPr>
          <w:p w:rsidR="00C225F5" w:rsidRPr="007779CA" w:rsidRDefault="00C225F5" w:rsidP="00CA623E">
            <w:pPr>
              <w:rPr>
                <w:rFonts w:cs="Times New Roman"/>
                <w:szCs w:val="26"/>
              </w:rPr>
            </w:pPr>
            <w:r w:rsidRPr="007779CA">
              <w:rPr>
                <w:rFonts w:cs="Times New Roman"/>
                <w:szCs w:val="26"/>
              </w:rPr>
              <w:t>100.000</w:t>
            </w:r>
          </w:p>
        </w:tc>
        <w:tc>
          <w:tcPr>
            <w:tcW w:w="1069" w:type="pct"/>
            <w:tcBorders>
              <w:top w:val="double" w:sz="4" w:space="0" w:color="auto"/>
              <w:left w:val="double" w:sz="4" w:space="0" w:color="auto"/>
              <w:bottom w:val="double" w:sz="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0,7%</w:t>
            </w:r>
          </w:p>
        </w:tc>
        <w:tc>
          <w:tcPr>
            <w:tcW w:w="1040" w:type="pct"/>
            <w:tcBorders>
              <w:top w:val="double" w:sz="4" w:space="0" w:color="auto"/>
              <w:left w:val="double" w:sz="4" w:space="0" w:color="auto"/>
              <w:bottom w:val="double" w:sz="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700</w:t>
            </w:r>
          </w:p>
        </w:tc>
        <w:tc>
          <w:tcPr>
            <w:tcW w:w="1050" w:type="pct"/>
            <w:tcBorders>
              <w:top w:val="double" w:sz="4" w:space="0" w:color="auto"/>
              <w:left w:val="double" w:sz="4" w:space="0" w:color="auto"/>
              <w:bottom w:val="double" w:sz="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800.000</w:t>
            </w:r>
          </w:p>
        </w:tc>
        <w:tc>
          <w:tcPr>
            <w:tcW w:w="1054" w:type="pct"/>
            <w:tcBorders>
              <w:top w:val="double" w:sz="4" w:space="0" w:color="auto"/>
              <w:left w:val="double" w:sz="4" w:space="0" w:color="auto"/>
              <w:bottom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1.900</w:t>
            </w:r>
          </w:p>
        </w:tc>
      </w:tr>
      <w:tr w:rsidR="00C225F5" w:rsidRPr="007779CA" w:rsidTr="00CA623E">
        <w:trPr>
          <w:trHeight w:hRule="exact" w:val="340"/>
        </w:trPr>
        <w:tc>
          <w:tcPr>
            <w:tcW w:w="787" w:type="pct"/>
            <w:tcBorders>
              <w:top w:val="double" w:sz="4" w:space="0" w:color="auto"/>
              <w:bottom w:val="double" w:sz="4" w:space="0" w:color="auto"/>
              <w:right w:val="double" w:sz="4" w:space="0" w:color="auto"/>
            </w:tcBorders>
            <w:vAlign w:val="bottom"/>
          </w:tcPr>
          <w:p w:rsidR="00C225F5" w:rsidRPr="007779CA" w:rsidRDefault="00C225F5" w:rsidP="00CA623E">
            <w:pPr>
              <w:rPr>
                <w:rFonts w:cs="Times New Roman"/>
                <w:szCs w:val="26"/>
              </w:rPr>
            </w:pPr>
            <w:r w:rsidRPr="007779CA">
              <w:rPr>
                <w:rFonts w:cs="Times New Roman"/>
                <w:szCs w:val="26"/>
              </w:rPr>
              <w:t>100.000</w:t>
            </w:r>
          </w:p>
        </w:tc>
        <w:tc>
          <w:tcPr>
            <w:tcW w:w="1069" w:type="pct"/>
            <w:tcBorders>
              <w:top w:val="double" w:sz="4" w:space="0" w:color="auto"/>
              <w:left w:val="double" w:sz="4" w:space="0" w:color="auto"/>
              <w:bottom w:val="double" w:sz="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0,8%</w:t>
            </w:r>
          </w:p>
        </w:tc>
        <w:tc>
          <w:tcPr>
            <w:tcW w:w="1040" w:type="pct"/>
            <w:tcBorders>
              <w:top w:val="double" w:sz="4" w:space="0" w:color="auto"/>
              <w:left w:val="double" w:sz="4" w:space="0" w:color="auto"/>
              <w:bottom w:val="double" w:sz="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800</w:t>
            </w:r>
          </w:p>
        </w:tc>
        <w:tc>
          <w:tcPr>
            <w:tcW w:w="1050" w:type="pct"/>
            <w:tcBorders>
              <w:top w:val="double" w:sz="4" w:space="0" w:color="auto"/>
              <w:left w:val="double" w:sz="4" w:space="0" w:color="auto"/>
              <w:bottom w:val="double" w:sz="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900.000</w:t>
            </w:r>
          </w:p>
        </w:tc>
        <w:tc>
          <w:tcPr>
            <w:tcW w:w="1054" w:type="pct"/>
            <w:tcBorders>
              <w:top w:val="double" w:sz="4" w:space="0" w:color="auto"/>
              <w:left w:val="double" w:sz="4" w:space="0" w:color="auto"/>
              <w:bottom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2.700</w:t>
            </w:r>
          </w:p>
        </w:tc>
      </w:tr>
      <w:tr w:rsidR="00C225F5" w:rsidRPr="007779CA" w:rsidTr="00CA623E">
        <w:trPr>
          <w:trHeight w:hRule="exact" w:val="340"/>
        </w:trPr>
        <w:tc>
          <w:tcPr>
            <w:tcW w:w="787" w:type="pct"/>
            <w:tcBorders>
              <w:top w:val="double" w:sz="4" w:space="0" w:color="auto"/>
              <w:bottom w:val="double" w:sz="4" w:space="0" w:color="auto"/>
              <w:right w:val="double" w:sz="4" w:space="0" w:color="auto"/>
            </w:tcBorders>
            <w:vAlign w:val="bottom"/>
          </w:tcPr>
          <w:p w:rsidR="00C225F5" w:rsidRPr="007779CA" w:rsidRDefault="00C225F5" w:rsidP="00CA623E">
            <w:pPr>
              <w:rPr>
                <w:rFonts w:cs="Times New Roman"/>
                <w:szCs w:val="26"/>
              </w:rPr>
            </w:pPr>
            <w:r w:rsidRPr="007779CA">
              <w:rPr>
                <w:rFonts w:cs="Times New Roman"/>
                <w:szCs w:val="26"/>
              </w:rPr>
              <w:t>100.000</w:t>
            </w:r>
          </w:p>
        </w:tc>
        <w:tc>
          <w:tcPr>
            <w:tcW w:w="1069" w:type="pct"/>
            <w:tcBorders>
              <w:top w:val="double" w:sz="4" w:space="0" w:color="auto"/>
              <w:left w:val="double" w:sz="4" w:space="0" w:color="auto"/>
              <w:bottom w:val="double" w:sz="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0,9%</w:t>
            </w:r>
          </w:p>
        </w:tc>
        <w:tc>
          <w:tcPr>
            <w:tcW w:w="1040" w:type="pct"/>
            <w:tcBorders>
              <w:top w:val="double" w:sz="4" w:space="0" w:color="auto"/>
              <w:left w:val="double" w:sz="4" w:space="0" w:color="auto"/>
              <w:bottom w:val="double" w:sz="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900</w:t>
            </w:r>
          </w:p>
        </w:tc>
        <w:tc>
          <w:tcPr>
            <w:tcW w:w="1050" w:type="pct"/>
            <w:tcBorders>
              <w:top w:val="double" w:sz="4" w:space="0" w:color="auto"/>
              <w:left w:val="double" w:sz="4" w:space="0" w:color="auto"/>
              <w:bottom w:val="double" w:sz="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1.000.000</w:t>
            </w:r>
          </w:p>
        </w:tc>
        <w:tc>
          <w:tcPr>
            <w:tcW w:w="1054" w:type="pct"/>
            <w:tcBorders>
              <w:top w:val="double" w:sz="4" w:space="0" w:color="auto"/>
              <w:left w:val="double" w:sz="4" w:space="0" w:color="auto"/>
              <w:bottom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3.600</w:t>
            </w:r>
          </w:p>
        </w:tc>
      </w:tr>
      <w:tr w:rsidR="00C225F5" w:rsidRPr="007779CA" w:rsidTr="00CA623E">
        <w:trPr>
          <w:trHeight w:hRule="exact" w:val="340"/>
        </w:trPr>
        <w:tc>
          <w:tcPr>
            <w:tcW w:w="787" w:type="pct"/>
            <w:tcBorders>
              <w:top w:val="double" w:sz="4" w:space="0" w:color="auto"/>
              <w:bottom w:val="threeDEngrave" w:sz="24" w:space="0" w:color="auto"/>
              <w:right w:val="double" w:sz="4" w:space="0" w:color="auto"/>
            </w:tcBorders>
            <w:vAlign w:val="bottom"/>
          </w:tcPr>
          <w:p w:rsidR="00C225F5" w:rsidRPr="007779CA" w:rsidRDefault="00C225F5" w:rsidP="00CA623E">
            <w:pPr>
              <w:rPr>
                <w:rFonts w:cs="Times New Roman"/>
                <w:szCs w:val="26"/>
              </w:rPr>
            </w:pPr>
          </w:p>
        </w:tc>
        <w:tc>
          <w:tcPr>
            <w:tcW w:w="1069" w:type="pct"/>
            <w:tcBorders>
              <w:top w:val="double" w:sz="4" w:space="0" w:color="auto"/>
              <w:left w:val="double" w:sz="4" w:space="0" w:color="auto"/>
              <w:bottom w:val="threeDEngrave" w:sz="24" w:space="0" w:color="auto"/>
              <w:right w:val="double" w:sz="4" w:space="0" w:color="auto"/>
            </w:tcBorders>
            <w:vAlign w:val="bottom"/>
          </w:tcPr>
          <w:p w:rsidR="00C225F5" w:rsidRPr="007779CA" w:rsidRDefault="00C225F5" w:rsidP="00CA623E">
            <w:pPr>
              <w:jc w:val="center"/>
              <w:rPr>
                <w:rFonts w:cs="Times New Roman"/>
                <w:szCs w:val="26"/>
              </w:rPr>
            </w:pPr>
            <w:r w:rsidRPr="007779CA">
              <w:rPr>
                <w:rFonts w:cs="Times New Roman"/>
                <w:szCs w:val="26"/>
              </w:rPr>
              <w:t>1,0%</w:t>
            </w:r>
          </w:p>
        </w:tc>
        <w:tc>
          <w:tcPr>
            <w:tcW w:w="1040" w:type="pct"/>
            <w:tcBorders>
              <w:top w:val="double" w:sz="4" w:space="0" w:color="auto"/>
              <w:left w:val="double" w:sz="4" w:space="0" w:color="auto"/>
              <w:bottom w:val="threeDEngrave" w:sz="24" w:space="0" w:color="auto"/>
              <w:right w:val="double" w:sz="4" w:space="0" w:color="auto"/>
            </w:tcBorders>
            <w:vAlign w:val="bottom"/>
          </w:tcPr>
          <w:p w:rsidR="00C225F5" w:rsidRPr="007779CA" w:rsidRDefault="00C225F5" w:rsidP="00CA623E">
            <w:pPr>
              <w:jc w:val="center"/>
              <w:rPr>
                <w:rFonts w:cs="Times New Roman"/>
                <w:szCs w:val="26"/>
              </w:rPr>
            </w:pPr>
          </w:p>
        </w:tc>
        <w:tc>
          <w:tcPr>
            <w:tcW w:w="1050" w:type="pct"/>
            <w:tcBorders>
              <w:top w:val="double" w:sz="4" w:space="0" w:color="auto"/>
              <w:left w:val="double" w:sz="4" w:space="0" w:color="auto"/>
              <w:bottom w:val="threeDEngrave" w:sz="24" w:space="0" w:color="auto"/>
              <w:right w:val="double" w:sz="4" w:space="0" w:color="auto"/>
            </w:tcBorders>
            <w:vAlign w:val="bottom"/>
          </w:tcPr>
          <w:p w:rsidR="00C225F5" w:rsidRPr="007779CA" w:rsidRDefault="00C225F5" w:rsidP="00CA623E">
            <w:pPr>
              <w:jc w:val="center"/>
              <w:rPr>
                <w:rFonts w:cs="Times New Roman"/>
                <w:szCs w:val="26"/>
              </w:rPr>
            </w:pPr>
          </w:p>
        </w:tc>
        <w:tc>
          <w:tcPr>
            <w:tcW w:w="1054" w:type="pct"/>
            <w:tcBorders>
              <w:top w:val="double" w:sz="4" w:space="0" w:color="auto"/>
              <w:left w:val="double" w:sz="4" w:space="0" w:color="auto"/>
              <w:bottom w:val="threeDEngrave" w:sz="24" w:space="0" w:color="auto"/>
            </w:tcBorders>
            <w:vAlign w:val="bottom"/>
          </w:tcPr>
          <w:p w:rsidR="00C225F5" w:rsidRPr="007779CA" w:rsidRDefault="00C225F5" w:rsidP="00CA623E">
            <w:pPr>
              <w:jc w:val="center"/>
              <w:rPr>
                <w:rFonts w:cs="Times New Roman"/>
                <w:szCs w:val="26"/>
              </w:rPr>
            </w:pPr>
          </w:p>
        </w:tc>
      </w:tr>
    </w:tbl>
    <w:p w:rsidR="00C225F5" w:rsidRDefault="00C225F5" w:rsidP="002D4B69">
      <w:pPr>
        <w:rPr>
          <w:rFonts w:eastAsia="Times New Roman"/>
        </w:rPr>
      </w:pPr>
    </w:p>
    <w:p w:rsidR="00625048" w:rsidRDefault="009061A6" w:rsidP="002D4B69">
      <w:pPr>
        <w:rPr>
          <w:rFonts w:eastAsia="Times New Roman"/>
        </w:rPr>
      </w:pPr>
      <w:r w:rsidRPr="002D4B69">
        <w:rPr>
          <w:rFonts w:eastAsia="Times New Roman"/>
        </w:rPr>
        <w:t>Ο εν λόγω "συμπληρωματικός" φόρος υπολογίζεται στη συνολική αξία των κτισμάτων και των οικοπέδων εντός σχεδίου πόλεως ή οικισμών που ανήκουν σε φυσικά πρόσωπα και χαρακτηρίζεται από τη</w:t>
      </w:r>
      <w:r w:rsidR="00E16DE7">
        <w:rPr>
          <w:rFonts w:eastAsia="Times New Roman"/>
        </w:rPr>
        <w:t>ν</w:t>
      </w:r>
      <w:r w:rsidRPr="002D4B69">
        <w:rPr>
          <w:rFonts w:eastAsia="Times New Roman"/>
        </w:rPr>
        <w:t xml:space="preserve"> προοδευτικότητά του και την ύπαρξη αφορολόγητου ορίου της τάξεως των 300.000 ευρώ (αντικειμενικής αξίας). Ο κατώτερος συντελεστής του είναι 0,1% για ακίνητη περιουσία πάνω από τις 300.000 ευρώ ενώ ο μεγαλύτερος είναι 1% για περιουσία αντικειμενικής αξίας μεγαλύτερης του 1 εκ ευρώ.</w:t>
      </w:r>
      <w:r w:rsidRPr="002D4B69">
        <w:rPr>
          <w:rFonts w:eastAsia="Times New Roman"/>
        </w:rPr>
        <w:br/>
        <w:t xml:space="preserve">Τα εκκαθαριστικά του ΕΝΦΙΑ έχουν προκαλέσει αναστάτωση στους ήδη υπερφορολογημένους ιδιοκτήτες ακινήτων και απαιτούνται διορθωτικές παρεμβάσεις για την άμεση αποκατάσταση αδικιών και λαθών. </w:t>
      </w:r>
      <w:r w:rsidRPr="00C225F5">
        <w:rPr>
          <w:rFonts w:eastAsia="Times New Roman"/>
          <w:b/>
        </w:rPr>
        <w:t>Η ΕΣΕΕ ζητά την επιβεβλημένη αναθεώρ</w:t>
      </w:r>
      <w:r w:rsidR="00625048" w:rsidRPr="00C225F5">
        <w:rPr>
          <w:rFonts w:eastAsia="Times New Roman"/>
          <w:b/>
        </w:rPr>
        <w:t>ηση στους υπολογισμούς του Υπουργείου Οικονομικών</w:t>
      </w:r>
      <w:r w:rsidRPr="002D4B69">
        <w:rPr>
          <w:rFonts w:eastAsia="Times New Roman"/>
        </w:rPr>
        <w:t>, τόσο στο βασικό φόρο, όσο και στην επιβολή του συμπληρωματικού φόρου, που ξεπερνά σε πολλές περιπτώσεις  το 1% της σημερινής "</w:t>
      </w:r>
      <w:r w:rsidR="00625048" w:rsidRPr="002D4B69">
        <w:rPr>
          <w:rFonts w:eastAsia="Times New Roman"/>
        </w:rPr>
        <w:t>φουσκωμένης</w:t>
      </w:r>
      <w:r w:rsidRPr="002D4B69">
        <w:rPr>
          <w:rFonts w:eastAsia="Times New Roman"/>
        </w:rPr>
        <w:t xml:space="preserve">", αντικειμενικής μεν, αλλά όχι πραγματικής δε, αξίας </w:t>
      </w:r>
      <w:r w:rsidRPr="002D4B69">
        <w:rPr>
          <w:rFonts w:eastAsia="Times New Roman"/>
        </w:rPr>
        <w:lastRenderedPageBreak/>
        <w:t>του ακινήτου.</w:t>
      </w:r>
      <w:r w:rsidRPr="002D4B69">
        <w:rPr>
          <w:rFonts w:eastAsia="Times New Roman"/>
        </w:rPr>
        <w:br/>
        <w:t>Η ΕΣΕΕ με επιστολή της στο οικονομικό επιτελείο έχει ζητήσει να μελετηθούν και να συμπεριληφθούν στη νομοθετική ρύθμιση που θα κατατεθεί στο τρίτο θερινό τμήμα της Βουλής στις 26 Αυγούστου, πέρα από τις διορθώσεις εξόφθαλμων αδικιών και πριν τη νέα έκδοση των εκκαθαριστικών στις</w:t>
      </w:r>
      <w:r w:rsidR="00625048">
        <w:rPr>
          <w:rFonts w:eastAsia="Times New Roman"/>
        </w:rPr>
        <w:t xml:space="preserve"> αρχές Σεπτεμβρίου, τα εξής:</w:t>
      </w:r>
    </w:p>
    <w:p w:rsidR="00625048" w:rsidRDefault="00625048" w:rsidP="00625048">
      <w:pPr>
        <w:pStyle w:val="a3"/>
        <w:numPr>
          <w:ilvl w:val="0"/>
          <w:numId w:val="8"/>
        </w:numPr>
        <w:rPr>
          <w:rFonts w:eastAsia="Times New Roman"/>
        </w:rPr>
      </w:pPr>
      <w:r w:rsidRPr="00625048">
        <w:rPr>
          <w:rFonts w:eastAsia="Times New Roman"/>
        </w:rPr>
        <w:t>Ά</w:t>
      </w:r>
      <w:r w:rsidR="009061A6" w:rsidRPr="00625048">
        <w:rPr>
          <w:rFonts w:eastAsia="Times New Roman"/>
        </w:rPr>
        <w:t>νοιγμα εφαρμογής για δι</w:t>
      </w:r>
      <w:r>
        <w:rPr>
          <w:rFonts w:eastAsia="Times New Roman"/>
        </w:rPr>
        <w:t>όρθωση λαθών των ιδιοκτητών.</w:t>
      </w:r>
    </w:p>
    <w:p w:rsidR="00625048" w:rsidRDefault="00625048" w:rsidP="00625048">
      <w:pPr>
        <w:pStyle w:val="a3"/>
        <w:numPr>
          <w:ilvl w:val="0"/>
          <w:numId w:val="8"/>
        </w:numPr>
        <w:rPr>
          <w:rFonts w:eastAsia="Times New Roman"/>
        </w:rPr>
      </w:pPr>
      <w:r>
        <w:rPr>
          <w:rFonts w:eastAsia="Times New Roman"/>
        </w:rPr>
        <w:t>Ε</w:t>
      </w:r>
      <w:r w:rsidR="009061A6" w:rsidRPr="00625048">
        <w:rPr>
          <w:rFonts w:eastAsia="Times New Roman"/>
        </w:rPr>
        <w:t>παναφορά αντικειμενικώ</w:t>
      </w:r>
      <w:r>
        <w:rPr>
          <w:rFonts w:eastAsia="Times New Roman"/>
        </w:rPr>
        <w:t>ν αξιών στα περσινά επίπεδα.</w:t>
      </w:r>
    </w:p>
    <w:p w:rsidR="00625048" w:rsidRDefault="00625048" w:rsidP="00625048">
      <w:pPr>
        <w:pStyle w:val="a3"/>
        <w:numPr>
          <w:ilvl w:val="0"/>
          <w:numId w:val="8"/>
        </w:numPr>
        <w:rPr>
          <w:rFonts w:eastAsia="Times New Roman"/>
        </w:rPr>
      </w:pPr>
      <w:r>
        <w:rPr>
          <w:rFonts w:eastAsia="Times New Roman"/>
        </w:rPr>
        <w:t>Δ</w:t>
      </w:r>
      <w:r w:rsidR="009061A6" w:rsidRPr="00625048">
        <w:rPr>
          <w:rFonts w:eastAsia="Times New Roman"/>
        </w:rPr>
        <w:t>ιόρθωση λαθών υπολογισμού σε οικισμ</w:t>
      </w:r>
      <w:r>
        <w:rPr>
          <w:rFonts w:eastAsia="Times New Roman"/>
        </w:rPr>
        <w:t>ούς και νησιωτικές περιοχές.</w:t>
      </w:r>
    </w:p>
    <w:p w:rsidR="00625048" w:rsidRDefault="00625048" w:rsidP="00625048">
      <w:pPr>
        <w:pStyle w:val="a3"/>
        <w:numPr>
          <w:ilvl w:val="0"/>
          <w:numId w:val="8"/>
        </w:numPr>
        <w:rPr>
          <w:rFonts w:eastAsia="Times New Roman"/>
        </w:rPr>
      </w:pPr>
      <w:r>
        <w:rPr>
          <w:rFonts w:eastAsia="Times New Roman"/>
        </w:rPr>
        <w:t>Ε</w:t>
      </w:r>
      <w:r w:rsidR="009061A6" w:rsidRPr="00625048">
        <w:rPr>
          <w:rFonts w:eastAsia="Times New Roman"/>
        </w:rPr>
        <w:t>ξορθολογισμός του βασικού/κύριου φόρ</w:t>
      </w:r>
      <w:r>
        <w:rPr>
          <w:rFonts w:eastAsia="Times New Roman"/>
        </w:rPr>
        <w:t>ου με την αξία του ακινήτου.</w:t>
      </w:r>
    </w:p>
    <w:p w:rsidR="00625048" w:rsidRDefault="00625048" w:rsidP="00625048">
      <w:pPr>
        <w:pStyle w:val="a3"/>
        <w:numPr>
          <w:ilvl w:val="0"/>
          <w:numId w:val="8"/>
        </w:numPr>
        <w:rPr>
          <w:rFonts w:eastAsia="Times New Roman"/>
        </w:rPr>
      </w:pPr>
      <w:r>
        <w:rPr>
          <w:rFonts w:eastAsia="Times New Roman"/>
        </w:rPr>
        <w:t>Α</w:t>
      </w:r>
      <w:r w:rsidR="009061A6" w:rsidRPr="00625048">
        <w:rPr>
          <w:rFonts w:eastAsia="Times New Roman"/>
        </w:rPr>
        <w:t>ναδιάρθρωση φόρου για ιδιοχρησιμοπο</w:t>
      </w:r>
      <w:r>
        <w:rPr>
          <w:rFonts w:eastAsia="Times New Roman"/>
        </w:rPr>
        <w:t>ιούμενη επαγγελματική στέγη.</w:t>
      </w:r>
    </w:p>
    <w:p w:rsidR="00625048" w:rsidRDefault="00625048" w:rsidP="00625048">
      <w:pPr>
        <w:pStyle w:val="a3"/>
        <w:numPr>
          <w:ilvl w:val="0"/>
          <w:numId w:val="8"/>
        </w:numPr>
        <w:rPr>
          <w:rFonts w:eastAsia="Times New Roman"/>
        </w:rPr>
      </w:pPr>
      <w:r>
        <w:rPr>
          <w:rFonts w:eastAsia="Times New Roman"/>
        </w:rPr>
        <w:t>Μ</w:t>
      </w:r>
      <w:r w:rsidR="009061A6" w:rsidRPr="00625048">
        <w:rPr>
          <w:rFonts w:eastAsia="Times New Roman"/>
        </w:rPr>
        <w:t>είωση του συμπληρωματικού φόρου τουλάχιστον κατά 50% και σε καμία περίπτωση να μην υπερβαίν</w:t>
      </w:r>
      <w:r>
        <w:rPr>
          <w:rFonts w:eastAsia="Times New Roman"/>
        </w:rPr>
        <w:t>ει ΑΥΘΑΙΡΕΤΑ τον κύριο φόρο.</w:t>
      </w:r>
    </w:p>
    <w:p w:rsidR="00625048" w:rsidRDefault="00625048" w:rsidP="00625048">
      <w:pPr>
        <w:pStyle w:val="a3"/>
        <w:numPr>
          <w:ilvl w:val="0"/>
          <w:numId w:val="8"/>
        </w:numPr>
        <w:rPr>
          <w:rFonts w:eastAsia="Times New Roman"/>
        </w:rPr>
      </w:pPr>
      <w:r>
        <w:rPr>
          <w:rFonts w:eastAsia="Times New Roman"/>
        </w:rPr>
        <w:t>Α</w:t>
      </w:r>
      <w:r w:rsidR="009061A6" w:rsidRPr="00625048">
        <w:rPr>
          <w:rFonts w:eastAsia="Times New Roman"/>
        </w:rPr>
        <w:t>λλαγή προγραμματισμού και αύξηση των δόσεων</w:t>
      </w:r>
      <w:r>
        <w:rPr>
          <w:rFonts w:eastAsia="Times New Roman"/>
        </w:rPr>
        <w:t xml:space="preserve"> από 5 τουλάχιστον σε 7 δόσεις.</w:t>
      </w:r>
    </w:p>
    <w:p w:rsidR="00E16DE7" w:rsidRDefault="009061A6" w:rsidP="00625048">
      <w:pPr>
        <w:rPr>
          <w:rFonts w:eastAsia="Times New Roman"/>
        </w:rPr>
      </w:pPr>
      <w:r w:rsidRPr="00625048">
        <w:rPr>
          <w:rFonts w:eastAsia="Times New Roman"/>
        </w:rPr>
        <w:t xml:space="preserve">Εκ μέρους των υπευθύνων πρέπει να γίνει αντιληπτό ότι τα </w:t>
      </w:r>
      <w:r w:rsidRPr="00C225F5">
        <w:rPr>
          <w:rFonts w:eastAsia="Times New Roman"/>
          <w:b/>
        </w:rPr>
        <w:t>λάθη με τον ΕΝΦΙΑ</w:t>
      </w:r>
      <w:r w:rsidRPr="00625048">
        <w:rPr>
          <w:rFonts w:eastAsia="Times New Roman"/>
        </w:rPr>
        <w:t xml:space="preserve"> δεν είναι μόνο φοροτεχνικά, αλλά κυρίως </w:t>
      </w:r>
      <w:r w:rsidRPr="00C225F5">
        <w:rPr>
          <w:rFonts w:eastAsia="Times New Roman"/>
          <w:b/>
        </w:rPr>
        <w:t>σοβαρά λάθη άσκησης φορολογικής πολιτικής</w:t>
      </w:r>
      <w:r w:rsidRPr="00625048">
        <w:rPr>
          <w:rFonts w:eastAsia="Times New Roman"/>
        </w:rPr>
        <w:t xml:space="preserve">. Οι άμεσες τροποποιήσεις του νέου "διπλού χαρατσιού", θα πρέπει να εστιάσουν περισσότερο στη τωρινή ικανότητα του πολίτη να πληρώσει και λιγότερο στο τι κατάφερε να κατέχει. </w:t>
      </w:r>
      <w:r w:rsidRPr="00625048">
        <w:rPr>
          <w:rFonts w:eastAsia="Times New Roman"/>
        </w:rPr>
        <w:br/>
      </w:r>
    </w:p>
    <w:p w:rsidR="00625048" w:rsidRPr="00AD72B9" w:rsidRDefault="009061A6" w:rsidP="00625048">
      <w:pPr>
        <w:rPr>
          <w:rFonts w:eastAsia="Times New Roman"/>
          <w:b/>
        </w:rPr>
      </w:pPr>
      <w:r w:rsidRPr="00AD72B9">
        <w:rPr>
          <w:rFonts w:eastAsia="Times New Roman"/>
          <w:b/>
          <w:u w:val="single"/>
        </w:rPr>
        <w:t xml:space="preserve">VIII. ΠΡΟΤΑΣΕΙΣ ΣΤΟΧΕΥΜΕΝΩΝ ΦΟΡΟΛΟΓΙΚΩΝ ΕΛΑΦΡΥΝΣΕΩΝ </w:t>
      </w:r>
    </w:p>
    <w:p w:rsidR="00625048" w:rsidRDefault="009061A6" w:rsidP="00625048">
      <w:pPr>
        <w:pStyle w:val="a3"/>
        <w:numPr>
          <w:ilvl w:val="0"/>
          <w:numId w:val="9"/>
        </w:numPr>
        <w:rPr>
          <w:rFonts w:eastAsia="Times New Roman"/>
        </w:rPr>
      </w:pPr>
      <w:r w:rsidRPr="00DF238F">
        <w:rPr>
          <w:rFonts w:eastAsia="Times New Roman"/>
          <w:b/>
        </w:rPr>
        <w:t>Φορολογία επιχειρήσεων</w:t>
      </w:r>
      <w:r w:rsidRPr="00625048">
        <w:rPr>
          <w:rFonts w:eastAsia="Times New Roman"/>
        </w:rPr>
        <w:t xml:space="preserve">: Θέσπιση ενός κοινού φορολογικού συντελεστή, ανεξαρτήτως της νομικής μορφής των επιχειρήσεων (ατομικές, προσωπικές, κεφαλαιουχικές), ο οποίος θα διαμορφώνεται στο </w:t>
      </w:r>
      <w:r w:rsidRPr="00C225F5">
        <w:rPr>
          <w:rFonts w:eastAsia="Times New Roman"/>
          <w:b/>
        </w:rPr>
        <w:t>15% επί των κερδών</w:t>
      </w:r>
      <w:r w:rsidRPr="00625048">
        <w:rPr>
          <w:rFonts w:eastAsia="Times New Roman"/>
        </w:rPr>
        <w:t xml:space="preserve">, ενώ σε περίπτωση διανομής αυτών (κερδών) θα επιβάλλεται περαιτέρω επιβάρυνση της τάξεως του 15%, που θα </w:t>
      </w:r>
      <w:r w:rsidRPr="00625048">
        <w:rPr>
          <w:rFonts w:eastAsia="Times New Roman"/>
        </w:rPr>
        <w:lastRenderedPageBreak/>
        <w:t>σηματοδοτεί και την εξάντληση/εκπλήρωση των υποχρεώσεων, όσον</w:t>
      </w:r>
      <w:r w:rsidR="00625048">
        <w:rPr>
          <w:rFonts w:eastAsia="Times New Roman"/>
        </w:rPr>
        <w:t xml:space="preserve"> αφορά στο φόρο εισοδήματος.</w:t>
      </w:r>
    </w:p>
    <w:p w:rsidR="00625048" w:rsidRDefault="009061A6" w:rsidP="00625048">
      <w:pPr>
        <w:pStyle w:val="a3"/>
        <w:numPr>
          <w:ilvl w:val="0"/>
          <w:numId w:val="9"/>
        </w:numPr>
        <w:rPr>
          <w:rFonts w:eastAsia="Times New Roman"/>
        </w:rPr>
      </w:pPr>
      <w:r w:rsidRPr="00DF238F">
        <w:rPr>
          <w:rFonts w:eastAsia="Times New Roman"/>
          <w:b/>
        </w:rPr>
        <w:t>Φορολογία φυσικών προσώπων</w:t>
      </w:r>
      <w:r w:rsidRPr="00625048">
        <w:rPr>
          <w:rFonts w:eastAsia="Times New Roman"/>
        </w:rPr>
        <w:t>: Ο φορολογικός διαχωρισμός των πολιτών με βάση την πηγή του εισοδήματος και όχι με βάση τις συνολικά  διαθέσιμες απολαβές, ανεξαρτήτως πηγής προελεύσεως, αποτελεί απροκάλυπτη παραβίαση των βασικών αρχών της φορολογικής δικαιοσύνης, η άμεση αποκατάσταση της οποίας πρέπει να τεθεί ως απαρέγκλιτη προτεραιότητα της αναμόρφωσης του φορολογικού καθεστώτο</w:t>
      </w:r>
      <w:r w:rsidR="00625048">
        <w:rPr>
          <w:rFonts w:eastAsia="Times New Roman"/>
        </w:rPr>
        <w:t>ς. Ως εκ τούτου, προτείνεται η</w:t>
      </w:r>
      <w:r w:rsidRPr="00625048">
        <w:rPr>
          <w:rFonts w:eastAsia="Times New Roman"/>
        </w:rPr>
        <w:t xml:space="preserve"> </w:t>
      </w:r>
      <w:r w:rsidRPr="00C225F5">
        <w:rPr>
          <w:rFonts w:eastAsia="Times New Roman"/>
          <w:b/>
        </w:rPr>
        <w:t>υιοθέτηση ενιαίας κλίμακας φορολογίας εισοδήματος</w:t>
      </w:r>
      <w:r w:rsidRPr="00625048">
        <w:rPr>
          <w:rFonts w:eastAsia="Times New Roman"/>
        </w:rPr>
        <w:t xml:space="preserve">, με </w:t>
      </w:r>
      <w:r w:rsidRPr="00C225F5">
        <w:rPr>
          <w:rFonts w:eastAsia="Times New Roman"/>
          <w:b/>
        </w:rPr>
        <w:t>ανώτατο συντελεστή το 33%</w:t>
      </w:r>
      <w:r w:rsidRPr="00625048">
        <w:rPr>
          <w:rFonts w:eastAsia="Times New Roman"/>
        </w:rPr>
        <w:t xml:space="preserve"> και με διατήρηση του υφιστάμενου </w:t>
      </w:r>
      <w:r w:rsidRPr="00C225F5">
        <w:rPr>
          <w:rFonts w:eastAsia="Times New Roman"/>
          <w:b/>
        </w:rPr>
        <w:t>αφορολόγητου ορίου των 9.500 ευρώ (9.545)</w:t>
      </w:r>
      <w:r w:rsidRPr="00625048">
        <w:rPr>
          <w:rFonts w:eastAsia="Times New Roman"/>
        </w:rPr>
        <w:t>, με πρόβλεψη για κατοχύρωση της περαιτέρω προσαύξησή</w:t>
      </w:r>
      <w:r w:rsidR="00E16DE7">
        <w:rPr>
          <w:rFonts w:eastAsia="Times New Roman"/>
        </w:rPr>
        <w:t>ς</w:t>
      </w:r>
      <w:r w:rsidRPr="00625048">
        <w:rPr>
          <w:rFonts w:eastAsia="Times New Roman"/>
        </w:rPr>
        <w:t xml:space="preserve"> του κατά 500 ευρώ για το πρώτο εξαρτώμενο τέκνο, επιπλέον 500 ευρώ για το δεύτερο εξαρτώμενο τέκνο και κατά 800 ευρώ από το τρίτ</w:t>
      </w:r>
      <w:r w:rsidR="00625048">
        <w:rPr>
          <w:rFonts w:eastAsia="Times New Roman"/>
        </w:rPr>
        <w:t>ο εξαρτώμενο τέκνο και πάνω.</w:t>
      </w:r>
    </w:p>
    <w:p w:rsidR="00625048" w:rsidRDefault="009061A6" w:rsidP="00625048">
      <w:pPr>
        <w:pStyle w:val="a3"/>
        <w:numPr>
          <w:ilvl w:val="0"/>
          <w:numId w:val="9"/>
        </w:numPr>
        <w:rPr>
          <w:rFonts w:eastAsia="Times New Roman"/>
        </w:rPr>
      </w:pPr>
      <w:r w:rsidRPr="00DF238F">
        <w:rPr>
          <w:rFonts w:eastAsia="Times New Roman"/>
          <w:b/>
        </w:rPr>
        <w:t>Τεκμήρια διαβίωσης</w:t>
      </w:r>
      <w:r w:rsidRPr="00625048">
        <w:rPr>
          <w:rFonts w:eastAsia="Times New Roman"/>
        </w:rPr>
        <w:t xml:space="preserve">: </w:t>
      </w:r>
      <w:r w:rsidRPr="00C225F5">
        <w:rPr>
          <w:rFonts w:eastAsia="Times New Roman"/>
          <w:b/>
        </w:rPr>
        <w:t xml:space="preserve">Πλήρης κατάργηση των τεκμηρίων από το οικονομικό έτος 2015 </w:t>
      </w:r>
      <w:r w:rsidRPr="00625048">
        <w:rPr>
          <w:rFonts w:eastAsia="Times New Roman"/>
        </w:rPr>
        <w:t>(χρήση 2014), εξαιτίας της πληθώρας των στρεβλώσεων, των αδικιών και των εσφαλμένων συμπερασμάτων που προκαλούνται, με άμεση συνέπεια την υπέρμε</w:t>
      </w:r>
      <w:r w:rsidR="00625048">
        <w:rPr>
          <w:rFonts w:eastAsia="Times New Roman"/>
        </w:rPr>
        <w:t>τρη επιβάρυνση των υπόχρεων.</w:t>
      </w:r>
    </w:p>
    <w:p w:rsidR="00625048" w:rsidRDefault="009061A6" w:rsidP="00625048">
      <w:pPr>
        <w:pStyle w:val="a3"/>
        <w:numPr>
          <w:ilvl w:val="0"/>
          <w:numId w:val="9"/>
        </w:numPr>
        <w:rPr>
          <w:rFonts w:eastAsia="Times New Roman"/>
        </w:rPr>
      </w:pPr>
      <w:r w:rsidRPr="00DF238F">
        <w:rPr>
          <w:rFonts w:eastAsia="Times New Roman"/>
          <w:b/>
        </w:rPr>
        <w:t>Προκαταβολή Φόρου Εισοδήματος Επιχειρήσεων</w:t>
      </w:r>
      <w:r w:rsidRPr="00625048">
        <w:rPr>
          <w:rFonts w:eastAsia="Times New Roman"/>
        </w:rPr>
        <w:t xml:space="preserve">: Προτείνεται η </w:t>
      </w:r>
      <w:r w:rsidRPr="00C225F5">
        <w:rPr>
          <w:rFonts w:eastAsia="Times New Roman"/>
          <w:b/>
        </w:rPr>
        <w:t>μείωση κατά 50% των υφιστάμενων ποσοστών προκαταβολής φόρου</w:t>
      </w:r>
      <w:r w:rsidRPr="00625048">
        <w:rPr>
          <w:rFonts w:eastAsia="Times New Roman"/>
        </w:rPr>
        <w:t xml:space="preserve"> για το επόμενο οικονομικό έτος, τόσο για τις ατομικές &amp; προσωπικές επιχειρήσεις (υφιστάμενος συντελεστής 55% επί των κερδών), όσο και για τις κεφαλαιουχικές (υφιστάμενος συντελεστής 80% επί των κερδών). Παράλληλα, ενδείκνυται η καθιέρωση της ισχύ</w:t>
      </w:r>
      <w:r w:rsidR="00625048">
        <w:rPr>
          <w:rFonts w:eastAsia="Times New Roman"/>
        </w:rPr>
        <w:t>ο</w:t>
      </w:r>
      <w:r w:rsidRPr="00625048">
        <w:rPr>
          <w:rFonts w:eastAsia="Times New Roman"/>
        </w:rPr>
        <w:t>ς των μειω</w:t>
      </w:r>
      <w:r w:rsidR="00625048">
        <w:rPr>
          <w:rFonts w:eastAsia="Times New Roman"/>
        </w:rPr>
        <w:t>μένων επιβαρύνσεων/συντελεστών </w:t>
      </w:r>
      <w:r w:rsidRPr="00625048">
        <w:rPr>
          <w:rFonts w:eastAsia="Times New Roman"/>
        </w:rPr>
        <w:t>όχι μόνο για τα τρία πρώτα χρόνια λειτουργίας των επιχειρήσεων αλλά για το συνολικό χρονικό διάστημ</w:t>
      </w:r>
      <w:r w:rsidR="00625048">
        <w:rPr>
          <w:rFonts w:eastAsia="Times New Roman"/>
        </w:rPr>
        <w:t>α της δραστηριοποίησής τους.</w:t>
      </w:r>
    </w:p>
    <w:p w:rsidR="00625048" w:rsidRDefault="009061A6" w:rsidP="00625048">
      <w:pPr>
        <w:pStyle w:val="a3"/>
        <w:numPr>
          <w:ilvl w:val="0"/>
          <w:numId w:val="9"/>
        </w:numPr>
        <w:rPr>
          <w:rFonts w:eastAsia="Times New Roman"/>
        </w:rPr>
      </w:pPr>
      <w:r w:rsidRPr="00DF238F">
        <w:rPr>
          <w:rFonts w:eastAsia="Times New Roman"/>
          <w:b/>
        </w:rPr>
        <w:lastRenderedPageBreak/>
        <w:t>Τέλος επιτηδεύματος</w:t>
      </w:r>
      <w:r w:rsidRPr="00625048">
        <w:rPr>
          <w:rFonts w:eastAsia="Times New Roman"/>
        </w:rPr>
        <w:t xml:space="preserve">: </w:t>
      </w:r>
      <w:r w:rsidRPr="00C225F5">
        <w:rPr>
          <w:rFonts w:eastAsia="Times New Roman"/>
          <w:b/>
        </w:rPr>
        <w:t>Η αύξηση του τέλους επιτηδεύματος</w:t>
      </w:r>
      <w:r w:rsidRPr="00625048">
        <w:rPr>
          <w:rFonts w:eastAsia="Times New Roman"/>
        </w:rPr>
        <w:t xml:space="preserve"> από 500 € σε 650 € για τους ελεύθερους επαγγελματίες και επι</w:t>
      </w:r>
      <w:r w:rsidR="00AE4EAC">
        <w:rPr>
          <w:rFonts w:eastAsia="Times New Roman"/>
        </w:rPr>
        <w:t>τηδευματίες, από 500 € σε 1.000</w:t>
      </w:r>
      <w:r w:rsidRPr="00625048">
        <w:rPr>
          <w:rFonts w:eastAsia="Times New Roman"/>
        </w:rPr>
        <w:t xml:space="preserve"> € για τις επιχειρήσεις και από 300 € σε 600 € για κάθε υποκατάστημα επιχείρησης αποτελεί ένα άδικο και αντιαναπτυξιακό μέτρο, το οποίο </w:t>
      </w:r>
      <w:r w:rsidRPr="00C225F5">
        <w:rPr>
          <w:rFonts w:eastAsia="Times New Roman"/>
          <w:b/>
        </w:rPr>
        <w:t>στοχοποιεί και αποθαρρύνει την ανάληψη επιχειρηματικών πρωτοβουλιών</w:t>
      </w:r>
      <w:r w:rsidRPr="00625048">
        <w:rPr>
          <w:rFonts w:eastAsia="Times New Roman"/>
        </w:rPr>
        <w:t>.  Η επαναφορά του εν λόγω τέλους στα προηγούμενα επίπεδα, αποτελεί μία από τις πρώτες διορθωτικές κινήσεις στις οποίες πρέπει να προβούν οι ιθύνοντες του Υπουργείου Οικονομικών, με την περαιτέρω συρρίκνωσή του ή ακόμη και την πλήρη κατάργησή του, όταν οι οικονομικές συνθήκες ωριμάσουν, να αποτελεί βασικό προαπαιτούμενο για την επανεκκίνηση</w:t>
      </w:r>
      <w:r w:rsidR="00625048">
        <w:rPr>
          <w:rFonts w:eastAsia="Times New Roman"/>
        </w:rPr>
        <w:t xml:space="preserve"> της πραγματικής οικονομίας.</w:t>
      </w:r>
    </w:p>
    <w:p w:rsidR="00625048" w:rsidRPr="0052024D" w:rsidRDefault="009061A6" w:rsidP="00625048">
      <w:pPr>
        <w:pStyle w:val="a3"/>
        <w:numPr>
          <w:ilvl w:val="0"/>
          <w:numId w:val="9"/>
        </w:numPr>
        <w:rPr>
          <w:rFonts w:eastAsia="Times New Roman"/>
        </w:rPr>
      </w:pPr>
      <w:r w:rsidRPr="00DF238F">
        <w:rPr>
          <w:rFonts w:eastAsia="Times New Roman"/>
          <w:b/>
        </w:rPr>
        <w:t>Ειδική Εισφορά Αλληλεγγύης</w:t>
      </w:r>
      <w:r w:rsidRPr="00625048">
        <w:rPr>
          <w:rFonts w:eastAsia="Times New Roman"/>
        </w:rPr>
        <w:t>: Ακόμη ένα μέτρο το οποίο θεσπίστηκε εν μέσω οικονομικής κρίσης προκειμένου να επιτευχθεί η τόνωση των κρατικών εσόδων, με συντελεστές που κυμαίνονται από 1% - 4% για έχοντες εισοδήματα άνω των 12.000 ευρώ και το οποίο συνέβαλε στην απομύζηση επιπλέον πόρων από ελεύθερους επαγγελματίες, μισθωτ</w:t>
      </w:r>
      <w:r w:rsidR="00AE4EAC">
        <w:rPr>
          <w:rFonts w:eastAsia="Times New Roman"/>
        </w:rPr>
        <w:t>ούς και συνταξιούχους.  Επιβάλλεται</w:t>
      </w:r>
      <w:r w:rsidRPr="00625048">
        <w:rPr>
          <w:rFonts w:eastAsia="Times New Roman"/>
        </w:rPr>
        <w:t>,  με τη σταδιακή αποκατάσταση κάποιων βασικών οικονομικών μεγεθών</w:t>
      </w:r>
      <w:r w:rsidR="00AE4EAC">
        <w:rPr>
          <w:rFonts w:eastAsia="Times New Roman"/>
        </w:rPr>
        <w:t>,</w:t>
      </w:r>
      <w:r w:rsidRPr="00625048">
        <w:rPr>
          <w:rFonts w:eastAsia="Times New Roman"/>
        </w:rPr>
        <w:t xml:space="preserve"> να αναθεωρηθεί – μέσω της μ</w:t>
      </w:r>
      <w:r w:rsidR="00AE4EAC">
        <w:rPr>
          <w:rFonts w:eastAsia="Times New Roman"/>
        </w:rPr>
        <w:t>είωσης των συντελεστών κατά</w:t>
      </w:r>
      <w:r w:rsidRPr="00625048">
        <w:rPr>
          <w:rFonts w:eastAsia="Times New Roman"/>
        </w:rPr>
        <w:t xml:space="preserve"> 50% – είτε ακόμη και να καταργηθεί στο προσεχές χρονικό διάστημα. </w:t>
      </w:r>
      <w:r w:rsidR="003E756E">
        <w:rPr>
          <w:rFonts w:eastAsia="Times New Roman"/>
        </w:rPr>
        <w:t>Υπενθυμίζεται ότι η</w:t>
      </w:r>
      <w:r w:rsidR="0052024D">
        <w:rPr>
          <w:rFonts w:eastAsia="Times New Roman"/>
        </w:rPr>
        <w:t xml:space="preserve"> </w:t>
      </w:r>
      <w:r w:rsidR="006F5D53">
        <w:rPr>
          <w:rFonts w:eastAsia="Times New Roman"/>
        </w:rPr>
        <w:t>επιβάρυνση</w:t>
      </w:r>
      <w:r w:rsidR="0052024D" w:rsidRPr="0052024D">
        <w:rPr>
          <w:rFonts w:eastAsia="Times New Roman"/>
        </w:rPr>
        <w:t xml:space="preserve"> </w:t>
      </w:r>
      <w:r w:rsidRPr="0052024D">
        <w:rPr>
          <w:rFonts w:eastAsia="Times New Roman"/>
        </w:rPr>
        <w:t xml:space="preserve">για νομικά πρόσωπα που ασκούν εμπορική δραστηριότητα και έχουν την </w:t>
      </w:r>
      <w:r w:rsidRPr="0052024D">
        <w:rPr>
          <w:rFonts w:eastAsia="Times New Roman"/>
          <w:b/>
        </w:rPr>
        <w:t>έδρα τους σε πόλεις με πληθυσμό πάνω από 200.000 κατοίκους</w:t>
      </w:r>
      <w:r w:rsidR="0052024D" w:rsidRPr="0052024D">
        <w:rPr>
          <w:rFonts w:eastAsia="Times New Roman"/>
        </w:rPr>
        <w:t xml:space="preserve"> διαμορφώνεται σε </w:t>
      </w:r>
      <w:r w:rsidR="0052024D" w:rsidRPr="0052024D">
        <w:rPr>
          <w:rFonts w:eastAsia="Times New Roman"/>
          <w:b/>
        </w:rPr>
        <w:t>1.000</w:t>
      </w:r>
      <w:r w:rsidR="0052024D" w:rsidRPr="0052024D">
        <w:rPr>
          <w:rFonts w:eastAsia="Times New Roman"/>
        </w:rPr>
        <w:t xml:space="preserve"> </w:t>
      </w:r>
      <w:r w:rsidR="0052024D" w:rsidRPr="0052024D">
        <w:rPr>
          <w:rFonts w:eastAsia="Times New Roman"/>
          <w:b/>
        </w:rPr>
        <w:t>ευρώ ετησίως</w:t>
      </w:r>
      <w:r w:rsidRPr="0052024D">
        <w:rPr>
          <w:rFonts w:eastAsia="Times New Roman"/>
        </w:rPr>
        <w:t xml:space="preserve">, ενώ για εκείνα που δραστηριοποιούνται σε περιοχές </w:t>
      </w:r>
      <w:r w:rsidRPr="0052024D">
        <w:rPr>
          <w:rFonts w:eastAsia="Times New Roman"/>
          <w:b/>
        </w:rPr>
        <w:t>με πληθυσμό έως 200.000 κατοίκους</w:t>
      </w:r>
      <w:r w:rsidRPr="0052024D">
        <w:rPr>
          <w:rFonts w:eastAsia="Times New Roman"/>
        </w:rPr>
        <w:t>, η επιβάρυνση ανέρ</w:t>
      </w:r>
      <w:r w:rsidR="00625048" w:rsidRPr="0052024D">
        <w:rPr>
          <w:rFonts w:eastAsia="Times New Roman"/>
        </w:rPr>
        <w:t xml:space="preserve">χεται στα </w:t>
      </w:r>
      <w:r w:rsidR="00625048" w:rsidRPr="0052024D">
        <w:rPr>
          <w:rFonts w:eastAsia="Times New Roman"/>
          <w:b/>
        </w:rPr>
        <w:t>800 ευρώ ανά έτος</w:t>
      </w:r>
      <w:r w:rsidR="00625048" w:rsidRPr="0052024D">
        <w:rPr>
          <w:rFonts w:eastAsia="Times New Roman"/>
        </w:rPr>
        <w:t>.</w:t>
      </w:r>
    </w:p>
    <w:p w:rsidR="00625048" w:rsidRPr="00A50608" w:rsidRDefault="009061A6" w:rsidP="00625048">
      <w:pPr>
        <w:pStyle w:val="a3"/>
        <w:numPr>
          <w:ilvl w:val="0"/>
          <w:numId w:val="9"/>
        </w:numPr>
        <w:rPr>
          <w:rFonts w:eastAsia="Times New Roman"/>
          <w:b/>
        </w:rPr>
      </w:pPr>
      <w:r w:rsidRPr="00DF238F">
        <w:rPr>
          <w:rFonts w:eastAsia="Times New Roman"/>
          <w:b/>
        </w:rPr>
        <w:t>Ρύθμιση Ληξιπρόθεσμων Οφειλών στην Εφορία</w:t>
      </w:r>
      <w:r w:rsidRPr="00625048">
        <w:rPr>
          <w:rFonts w:eastAsia="Times New Roman"/>
        </w:rPr>
        <w:t xml:space="preserve">: Ένεκα της παρατεταμένης οικονομικής ύφεσης και των δυσμενών συνεπειών που αυτή συνεπάγεται, οι υπεύθυνοι διαμόρφωσης του πλαισίου διευθέτησης των εκκρεμών φορολογικών οφειλών/υποθέσεων, θα πρέπει να λάβουν </w:t>
      </w:r>
      <w:r w:rsidRPr="00625048">
        <w:rPr>
          <w:rFonts w:eastAsia="Times New Roman"/>
        </w:rPr>
        <w:lastRenderedPageBreak/>
        <w:t>σοβαρά υπόψη την περιορισμένη ρευστότητα  που διακρίνει τη συντριπτική πλειοψηφία των επιχειρηματικού κόσμου, εξαιτίας της συρρικνωμένης καταναλωτικής δαπάνης</w:t>
      </w:r>
      <w:r w:rsidR="00AE4EAC">
        <w:rPr>
          <w:rFonts w:eastAsia="Times New Roman"/>
        </w:rPr>
        <w:t xml:space="preserve"> και του ισχνού τζίρου που αυτή</w:t>
      </w:r>
      <w:r w:rsidRPr="00625048">
        <w:rPr>
          <w:rFonts w:eastAsia="Times New Roman"/>
        </w:rPr>
        <w:t xml:space="preserve"> συνεπάγεται. Προκειμένου λοιπόν οι ελεύθεροι επαγγελματίες/επιτηδευματίες να μπορέσουν να ανταποκριθούν στο σύνολο των ληξιπρόθεσμων υποχρεώσεών τους, ενδείκνυται η αναπροσαρμογή του υπάρχοντος καθεστώτος και η θέσπιση πλαισίου που θα προβλέπει, υπό προϋποθέσεις, την </w:t>
      </w:r>
      <w:r w:rsidRPr="00A50608">
        <w:rPr>
          <w:rFonts w:eastAsia="Times New Roman"/>
          <w:b/>
        </w:rPr>
        <w:t>επέκταση του αριθμού των δόσεων έως τις 100</w:t>
      </w:r>
      <w:r w:rsidRPr="00625048">
        <w:rPr>
          <w:rFonts w:eastAsia="Times New Roman"/>
        </w:rPr>
        <w:t>, διάταξη η οποία ισχύει άλλωστε και  για τις οφειλές στα ασφαλιστικά ταμεία.</w:t>
      </w:r>
      <w:r w:rsidRPr="00625048">
        <w:rPr>
          <w:rFonts w:eastAsia="Times New Roman"/>
        </w:rPr>
        <w:br/>
        <w:t xml:space="preserve">Επίσης, αντικείμενο ενδελεχούς επανεξέτασης θα πρέπει να αποτελέσει η προοδευτικότητα των περαιτέρω επιβαρύνσεων και των προσαυξήσεων, καθώς η εμπειρία των προηγούμενων ρυθμίσεων κατέδειξε ότι καταλήγουν σε ένα ιδιαίτερα υψηλό επίπεδο.  Σε κάθε περίπτωση οι υιοθετούμενες ρυθμίσεις θα επιτύχουν  το στόχο τους, εφόσον </w:t>
      </w:r>
      <w:r w:rsidRPr="00A50608">
        <w:rPr>
          <w:rFonts w:eastAsia="Times New Roman"/>
          <w:b/>
        </w:rPr>
        <w:t xml:space="preserve">μηδενιστούν οι πρόσθετοι φόροι ή τα πρόσθετα τέλη που βεβαιώνονται με την </w:t>
      </w:r>
      <w:r w:rsidR="00625048" w:rsidRPr="00A50608">
        <w:rPr>
          <w:rFonts w:eastAsia="Times New Roman"/>
          <w:b/>
        </w:rPr>
        <w:t>κύρια οφειλή για όλα τα έτη.</w:t>
      </w:r>
    </w:p>
    <w:p w:rsidR="00625048" w:rsidRDefault="009061A6" w:rsidP="00625048">
      <w:pPr>
        <w:pStyle w:val="a3"/>
        <w:numPr>
          <w:ilvl w:val="0"/>
          <w:numId w:val="9"/>
        </w:numPr>
        <w:rPr>
          <w:rFonts w:eastAsia="Times New Roman"/>
        </w:rPr>
      </w:pPr>
      <w:r w:rsidRPr="00DF238F">
        <w:rPr>
          <w:rFonts w:eastAsia="Times New Roman"/>
          <w:b/>
        </w:rPr>
        <w:t>Εκλογίκευση του Κώδικα Φορολογικών Διαδικασιών</w:t>
      </w:r>
      <w:r w:rsidRPr="00625048">
        <w:rPr>
          <w:rFonts w:eastAsia="Times New Roman"/>
        </w:rPr>
        <w:t>: Οι υφιστάμενες σχετικές φορολογικές διατάξεις μπορεί να προβλέπουν την περικοπή σε μεγάλο ποσοστό των αρχικώς ορισθέντων φορολογικών προστίμων, σε καμία όμως περίπτωση δεν διακρίνονται για την ορθολογικότητά τους, σε μία μάλιστα περίοδο όπου η δραματική συρρίκνωση της αγοραστική</w:t>
      </w:r>
      <w:r w:rsidR="00E16DE7">
        <w:rPr>
          <w:rFonts w:eastAsia="Times New Roman"/>
        </w:rPr>
        <w:t>ς</w:t>
      </w:r>
      <w:r w:rsidRPr="00625048">
        <w:rPr>
          <w:rFonts w:eastAsia="Times New Roman"/>
        </w:rPr>
        <w:t xml:space="preserve"> δύναμης των καταναλωτών επηρεάζει άμεσα και επί τα χείρω τον κύκλο εργασιών των επιχειρήσεων. Ως εκ τούτου, </w:t>
      </w:r>
      <w:r w:rsidRPr="00A50608">
        <w:rPr>
          <w:rFonts w:eastAsia="Times New Roman"/>
          <w:b/>
        </w:rPr>
        <w:t xml:space="preserve">ακόμη και τα πρόστιμα των 250 και 500 </w:t>
      </w:r>
      <w:r w:rsidRPr="00625048">
        <w:rPr>
          <w:rFonts w:eastAsia="Times New Roman"/>
        </w:rPr>
        <w:t xml:space="preserve">ευρώ για την μη έκδοση ή την εκπρόθεσμη έκδοση φορολογικών στοιχείων για τις επιχειρήσεις/επιτηδευματίες που τηρούν απλογραφικά και διπλογραφικά βιβλία αντίστοιχα, </w:t>
      </w:r>
      <w:r w:rsidRPr="00A50608">
        <w:rPr>
          <w:rFonts w:eastAsia="Times New Roman"/>
          <w:b/>
        </w:rPr>
        <w:t>φαντάζουν ως ανυπέρβλητο εμπόδιο για τη χειμαζόμενη ελληνική επιχειρηματικότητα</w:t>
      </w:r>
      <w:r w:rsidRPr="00625048">
        <w:rPr>
          <w:rFonts w:eastAsia="Times New Roman"/>
        </w:rPr>
        <w:t>, με την περα</w:t>
      </w:r>
      <w:r w:rsidR="00E16DE7">
        <w:rPr>
          <w:rFonts w:eastAsia="Times New Roman"/>
        </w:rPr>
        <w:t>ιτέρω απομείωσή</w:t>
      </w:r>
      <w:r w:rsidRPr="00625048">
        <w:rPr>
          <w:rFonts w:eastAsia="Times New Roman"/>
        </w:rPr>
        <w:t xml:space="preserve"> τους να συνιστά άμεση προτεραιότητα.</w:t>
      </w:r>
      <w:r w:rsidRPr="00625048">
        <w:rPr>
          <w:rFonts w:eastAsia="Times New Roman"/>
        </w:rPr>
        <w:br/>
      </w:r>
      <w:r w:rsidRPr="00625048">
        <w:rPr>
          <w:rFonts w:eastAsia="Times New Roman"/>
        </w:rPr>
        <w:lastRenderedPageBreak/>
        <w:t xml:space="preserve">Ζωτικής σημασίας για την επιβίωση χιλιάδων μικρομεσαίων επιχειρηματιών/ελεύθερων επαγγελματιών και μισθωτών αποτελεί η επαναφορά της ισχύος του Διοικητικού Συμβιβασμού  σε περιπτώσεις επιβολής προστίμων, πρόβλεψη η οποία αυθαιρέτως και χωρίς κανένα ίχνος λογικής καταργήθηκε στο πλαίσιο της πρόσφατης αναπροσαρμογής του Κώδικα Φορολογικών Διαδικασιών. Η νομοθέτηση εξοντωτικών προστίμων σε συνδυασμό με την άρση της δυνατότητας προσφυγής σε Διοικητικό Συμβιβασμό, συνιστά κατάφωρη παραβίαση της αρχής της ίσης μεταχείρισης μεταξύ των υπόχρεων, ενώ ταυτόχρονα  παρασύρει στο χείλος του γκρεμού πληθώρα συνεπών φορολογουμένων. </w:t>
      </w:r>
      <w:r w:rsidRPr="00625048">
        <w:rPr>
          <w:rFonts w:eastAsia="Times New Roman"/>
        </w:rPr>
        <w:br/>
        <w:t>Επιπλέον παραφωνία στην υιοθέτηση χρηστικών και ορθολογικών διατάξεων που επιλύουν χρόνιες παθογένειες της ελληνικής οικονομίας, συνιστά η καθολική εφαρμογή της αναστολής του ΑΦΜ. Ο εμπορικός κόσμος δεν αντίκειται στην αναστολή του ΑΦΜ σε περιπτώσεις που έχει αποκτηθεί με ψευδή και ανακριβή στοιχεία απάτης, βαριάς και συστηματικής φοροδιαφυγής καθώς και σε περιπτώσεις παύσης της οικονομικής δραστηριότητας. Οι παραπάνω προβλέψεις όμως δεν μπορούν να εξομοιωθούν με περιπτώσεις φοροδιαφυγής ήσσονος σημασίας, καθόσον οι επιπτώσεις για τις επιχειρήσεις που τις διαπράττουν θα είναι καταδικαστικές και θα ισοδυναμούν με τον τερματισμό της λειτουργίας τους, δημιουργώντας παράπλευρες απώλειες στην αγορά.</w:t>
      </w:r>
      <w:r w:rsidRPr="00625048">
        <w:rPr>
          <w:rFonts w:eastAsia="Times New Roman"/>
        </w:rPr>
        <w:br/>
        <w:t>Ως εκ τούτου, προκειμένου ολοένα και περισσότερες επιχειρ</w:t>
      </w:r>
      <w:r w:rsidR="00625048">
        <w:rPr>
          <w:rFonts w:eastAsia="Times New Roman"/>
        </w:rPr>
        <w:t>ήσεις να αποφύγουν το «ξαφνικό θ</w:t>
      </w:r>
      <w:r w:rsidRPr="00625048">
        <w:rPr>
          <w:rFonts w:eastAsia="Times New Roman"/>
        </w:rPr>
        <w:t xml:space="preserve">άνατο» και να καταστούν βιώσιμες αλλά να διασφαλιστεί ταυτόχρονα και η απρόσκοπτη εισροή πόρων στα Κρατικά Ταμεία (φόροι και πρόστιμα από παραβάτες), προτείνεται εναλλακτικά η επιβολή αυστηρών όρων επιτήρησης του ΑΦΜ των «ύποπτων» επιχειρήσεων, έναντι της απροειδοποίητης και «οριζόντιας» αναστολής </w:t>
      </w:r>
      <w:r w:rsidR="00625048">
        <w:rPr>
          <w:rFonts w:eastAsia="Times New Roman"/>
        </w:rPr>
        <w:t xml:space="preserve">της λειτουργίας τους. </w:t>
      </w:r>
    </w:p>
    <w:p w:rsidR="00592DD0" w:rsidRPr="00592DD0" w:rsidRDefault="009061A6" w:rsidP="00592DD0">
      <w:pPr>
        <w:pStyle w:val="a3"/>
        <w:numPr>
          <w:ilvl w:val="0"/>
          <w:numId w:val="9"/>
        </w:numPr>
        <w:ind w:left="714" w:hanging="357"/>
        <w:rPr>
          <w:rFonts w:eastAsia="Times New Roman"/>
        </w:rPr>
      </w:pPr>
      <w:r w:rsidRPr="00DF238F">
        <w:rPr>
          <w:rFonts w:eastAsia="Times New Roman"/>
          <w:b/>
        </w:rPr>
        <w:t>Αλλαγές στο σύστημα ΦΠΑ</w:t>
      </w:r>
      <w:r w:rsidRPr="00592DD0">
        <w:rPr>
          <w:rFonts w:eastAsia="Times New Roman"/>
        </w:rPr>
        <w:t xml:space="preserve">: Η ΕΣΕΕ εκφράζει επιφυλάξεις για τις κατατεθείσες στη Βουλή, με τη μορφή Πολυνομοσχεδίου (Ιούλιος 2014), </w:t>
      </w:r>
      <w:r w:rsidRPr="00592DD0">
        <w:rPr>
          <w:rFonts w:eastAsia="Times New Roman"/>
        </w:rPr>
        <w:lastRenderedPageBreak/>
        <w:t xml:space="preserve">φορολογικές μεταρρυθμίσεις σε ζητήματα που άπτονται του Φόρου Προστιθέμενης Αξίας (ΦΠΑ) και οι οποίες θα έπρεπε να συνδράμουν περισσότερο, τόσο στην επανεκκίνηση της πραγματικής οικονομίας όσο και στην μερική έστω, αποκατάσταση των όρων εύρυθμης λειτουργίας της αγοράς μέσω της μείωσης του ΦΠΑ από 23% σε 19% για όλα τα </w:t>
      </w:r>
      <w:r w:rsidR="00625048" w:rsidRPr="00592DD0">
        <w:rPr>
          <w:rFonts w:eastAsia="Times New Roman"/>
        </w:rPr>
        <w:t>προϊόντα</w:t>
      </w:r>
      <w:r w:rsidRPr="00592DD0">
        <w:rPr>
          <w:rFonts w:eastAsia="Times New Roman"/>
        </w:rPr>
        <w:t xml:space="preserve"> και τις </w:t>
      </w:r>
      <w:r w:rsidR="00625048" w:rsidRPr="00592DD0">
        <w:rPr>
          <w:rFonts w:eastAsia="Times New Roman"/>
        </w:rPr>
        <w:t>υπηρεσίες</w:t>
      </w:r>
      <w:r w:rsidRPr="00592DD0">
        <w:rPr>
          <w:rFonts w:eastAsia="Times New Roman"/>
        </w:rPr>
        <w:t xml:space="preserve">. Είναι γεγονός πως κάποια από τα υποβληθέντα αιτήματα της ΕΣΕΕ προς την ηγεσία του Υπουργείου Οικονομικών, τελικά εισακούστηκαν, επιβεβαιώνοντας την άποψη πως για θέματα που σχετίζονται με την ομαλή λειτουργία της αγοράς θα πρέπει σε κάθε περίπτωση να λαμβάνονται σοβαρά </w:t>
      </w:r>
      <w:r w:rsidR="00625048" w:rsidRPr="00592DD0">
        <w:rPr>
          <w:rFonts w:eastAsia="Times New Roman"/>
        </w:rPr>
        <w:t>υπόψη</w:t>
      </w:r>
      <w:r w:rsidRPr="00592DD0">
        <w:rPr>
          <w:rFonts w:eastAsia="Times New Roman"/>
        </w:rPr>
        <w:t xml:space="preserve"> οι θέσεις των φορέων εκπροσώπησης του εγχώριου επιχειρείν. Ειδικότερα, η κατάργηση της υποβολής εκκαθαριστικών δηλώσεων ΦΠΑ και ο συμψηφισμός του χρεωστικού και του πιστωτικού ΦΠΑ των επιχειρήσεων, τόσο με ιδιώτες όσο και με το σύνολο των φορέων του Δημοσίου, χωρίς περιορισμούς, συνιστούν βασικά και νευραλγικής σημασίας αιτήματα του εμπορικού κόσμου. Με βάση μάλιστα τις διαβεβαιώσεις της Κυβέρνησης, η δρομολόγηση μείζονος σημασίας ρυθμίσεων εντός εύλογου χρονικού διαστήματος (Φθινόπωρο 2014) όπως η πρόβλεψη για αυτόματη επιστροφή ΦΠΑ χωρίς τη διενέργεια ελέγχων για τις συνεπείς επιχειρήσεις, θα αποτελέσει ένα ακόμη σημαντικό βήμα προς την ενδεδειγμένη κατεύθυνση.</w:t>
      </w:r>
      <w:r w:rsidRPr="00592DD0">
        <w:rPr>
          <w:rFonts w:eastAsia="Times New Roman"/>
        </w:rPr>
        <w:br/>
      </w:r>
      <w:r w:rsidR="007C681E">
        <w:rPr>
          <w:rFonts w:eastAsia="Times New Roman"/>
        </w:rPr>
        <w:t>Η ΕΣΕΕ</w:t>
      </w:r>
      <w:r w:rsidRPr="00592DD0">
        <w:rPr>
          <w:rFonts w:eastAsia="Times New Roman"/>
        </w:rPr>
        <w:t xml:space="preserve">, ήδη από τον Απρίλιο του τρέχοντος έτους  είχε εκφράσει την ικανοποίησή της αναφορικά με τη σχεδιαζόμενη, εκ μέρους του οικονομικού επιτελείου, απαλλαγή από το καθεστώς ΦΠΑ επιχειρήσεων με χαμηλό ετήσιο τζίρο, μία πρωτοβουλία αμφίδρομης  ωφέλειας  τόσο για τον επιχειρηματικό κόσμο όσο και για την επιτυχή έκβαση της ασκούμενης δημοσιονομικής πολιτικής (με μικρή απώλεια δημοσίων εσόδων). Άλλωστε η ΕΣΕΕ, στα πλαίσια  συνεργασίας με το Υπουργείο Διοικητικής Μεταρρύθμισης στην κοινώς επιχειρούμενη προσπάθεια εξάλειψης πληθώρας γραφειοκρατικών εμποδίων σε βασικούς τομείς </w:t>
      </w:r>
      <w:r w:rsidRPr="00592DD0">
        <w:rPr>
          <w:rFonts w:eastAsia="Times New Roman"/>
        </w:rPr>
        <w:lastRenderedPageBreak/>
        <w:t xml:space="preserve">οικονομικής δραστηριότητας, είχε καταθέσει σαφείς και εμπεριστατωμένες προτάσεις για ζητήματα που άπτονται του Φόρου Προστιθέμενης Αξίας, μεταξύ των οποίων εξέχουσα θέση κατείχε η αδήριτη ανάγκη για </w:t>
      </w:r>
      <w:r w:rsidRPr="00592DD0">
        <w:rPr>
          <w:rFonts w:eastAsia="Times New Roman"/>
          <w:b/>
        </w:rPr>
        <w:t>απαλλαγή από το ΦΠΑ επιχειρήσεων με πραγματοποιούμενο ετήσιο τζίρο τουλάχιστον 20.000 ευρώ</w:t>
      </w:r>
      <w:r w:rsidRPr="00592DD0">
        <w:rPr>
          <w:rFonts w:eastAsia="Times New Roman"/>
        </w:rPr>
        <w:t>. Παρόλα αυτά, το αρχικώς προβλεφθέν ετήσιο επίπεδο τζίρου των 10.000 ευρώ μέχρι το οποίο οι επιτηδευματίες θα έχουν τη δυνατότητα εξαίρεσης από το καθεστώς ΦΠΑ, είχε κριθεί ανεπαρκές, από τη στιγμή που δεν αποτύπωνε την πραγματικά επικρατούσα κατάσταση και τις αδιαμφισβήτητες ανάγκες του πλέον αντιπροσωπευτικού κλάδου δραστηριοποίησης του εγχώριου επιχειρείν, εκείνον του Λιανικού Εμπορίου. Προς επίρρωση των παραπάνω, κύκλοι της Κυβέρνησης, αναλογιζόμενοι τη μικρή απήχηση και την περιορισμένη αποτελεσματικότητα του προωθούμενου μέτρου, ασκούσαν πιέσεις  για αναπροσαρμογή του εν λόγω ποσού (10.000) στα επίπεδα των 20.000 – 25.000 ευρώ καταγεγραμμένου ετήσιου κύκλου εργασιών. Δυστυχώς, η διαφαινόμενη επικράτηση της αρχικής εισήγησης αφήνει δυσαρεστημένη τη συντριπτική πλειοψηφία του εμπορικού κόσμου. Οι μικρομεσαίοι του εμπορίου εκφράζουν την επιφυλακτικότητά τους για την αποτελεσματικότητα  του συγκεκριμένου μέτρου και τις προοπτικές/δυνατότητες επίλυσης  καίριων προβλημάτων της α</w:t>
      </w:r>
      <w:r w:rsidR="00AE4EAC" w:rsidRPr="00592DD0">
        <w:rPr>
          <w:rFonts w:eastAsia="Times New Roman"/>
        </w:rPr>
        <w:t>γοράς, καθώς το ιδιαίτερα χαμηλό</w:t>
      </w:r>
      <w:r w:rsidRPr="00592DD0">
        <w:rPr>
          <w:rFonts w:eastAsia="Times New Roman"/>
        </w:rPr>
        <w:t xml:space="preserve"> προβλεπόμενο επίπεδο τζίρου αφήνει «εκτός νυμφώνος» το βασικό πυρήνα των μικρών ελληνικών επιχειρήσεων, εκείνων που δραστηριοποιούνται στο χώρο της "μικρής λιανικής" της αγοράς.</w:t>
      </w:r>
      <w:r w:rsidRPr="00592DD0">
        <w:rPr>
          <w:rFonts w:eastAsia="Times New Roman"/>
        </w:rPr>
        <w:br/>
        <w:t>Όπως γίνεται εύκολα αντιληπτό, το ποσό των 10.000 ευρώ αποτελεί ένα ευτελές μέγεθος και κρίνεται</w:t>
      </w:r>
      <w:r w:rsidR="00AE4EAC" w:rsidRPr="00592DD0">
        <w:rPr>
          <w:rFonts w:eastAsia="Times New Roman"/>
        </w:rPr>
        <w:t xml:space="preserve"> ανεπαρκές για την κάλυψη ακόμη και</w:t>
      </w:r>
      <w:r w:rsidRPr="00592DD0">
        <w:rPr>
          <w:rFonts w:eastAsia="Times New Roman"/>
        </w:rPr>
        <w:t xml:space="preserve"> του βασικού λειτουργικού κόστους που επωμίζεται  μία τυπική μικρή (ατομική) εμπορική επιχείρηση (βλ. σχετικό Πίνακα 1), καθώς μόνο τα ετήσια έξοδα που επιβαρύνουν το προϋπολογισμό της επιχείρησης και τα </w:t>
      </w:r>
      <w:r w:rsidRPr="00592DD0">
        <w:rPr>
          <w:rFonts w:eastAsia="Times New Roman"/>
        </w:rPr>
        <w:lastRenderedPageBreak/>
        <w:t>οποία εξειδικεύονται στην εμπορική μίσθωση (ενοίκιο, περίπου 6.000 ευρώ), του προς εκμετάλλευση ακινήτου αλλά και στην κατανάλωση ηλεκτρικής ενέργειας (λογαριασμός ΔΕΗ, περίπου 2.000 ευρώ), προσεγγίζουν αθροιστικά τα 8.000 ευρώ. Στην περίπτωση βεβαίως που η επιχείρηση απασχολεί έστω και έναν εργαζόμενο, με μικρή ή σχεδόν μηδενική προϋπηρεσία, το συνολικό της κόστος (εκτός υποχρεώσεων σε Εφορία, Ασφαλιστικά Ταμεία και  Προμηθευτές) εκτινάσσεται σε επίπεδα που κυμαίνονται μεταξύ 23.000 και 25.000 ευρώ. Εύλογα λοιπόν γεννάται το ερώτημα πως ένας επιτηδευματίας με όλη την καλή διάθεση που τον διακρίνει, αναφορικά με τη συμβολή του στην τόνωση της απασχόλησης μέσω της διατήρησης του εργατικού δυναμικού που διαθέτει, θα μπορέσει να ανταπεξέλθει σε τόσο αντίξοες και δυσχερείς συνθήκες.</w:t>
      </w:r>
      <w:r w:rsidRPr="00592DD0">
        <w:rPr>
          <w:rFonts w:eastAsia="Times New Roman"/>
        </w:rPr>
        <w:br/>
      </w:r>
    </w:p>
    <w:tbl>
      <w:tblPr>
        <w:tblStyle w:val="a6"/>
        <w:tblW w:w="7655" w:type="dxa"/>
        <w:tblInd w:w="392" w:type="dxa"/>
        <w:tblBorders>
          <w:top w:val="threeDEngrave" w:sz="24" w:space="0" w:color="auto"/>
          <w:left w:val="threeDEngrave" w:sz="24" w:space="0" w:color="auto"/>
          <w:bottom w:val="threeDEngrave" w:sz="24" w:space="0" w:color="auto"/>
          <w:right w:val="threeDEngrave" w:sz="24" w:space="0" w:color="auto"/>
        </w:tblBorders>
        <w:tblLook w:val="04A0"/>
      </w:tblPr>
      <w:tblGrid>
        <w:gridCol w:w="3552"/>
        <w:gridCol w:w="4103"/>
      </w:tblGrid>
      <w:tr w:rsidR="00592DD0" w:rsidRPr="008B7142" w:rsidTr="00CA623E">
        <w:trPr>
          <w:trHeight w:val="699"/>
        </w:trPr>
        <w:tc>
          <w:tcPr>
            <w:tcW w:w="7655" w:type="dxa"/>
            <w:gridSpan w:val="2"/>
            <w:tcBorders>
              <w:top w:val="threeDEngrave" w:sz="24" w:space="0" w:color="auto"/>
              <w:bottom w:val="threeDEngrave" w:sz="24" w:space="0" w:color="auto"/>
            </w:tcBorders>
            <w:shd w:val="clear" w:color="auto" w:fill="BFBFBF" w:themeFill="background1" w:themeFillShade="BF"/>
            <w:vAlign w:val="center"/>
          </w:tcPr>
          <w:p w:rsidR="00592DD0" w:rsidRPr="008B7142" w:rsidRDefault="00592DD0" w:rsidP="00592DD0">
            <w:pPr>
              <w:rPr>
                <w:rFonts w:cs="Times New Roman"/>
                <w:szCs w:val="26"/>
              </w:rPr>
            </w:pPr>
            <w:r w:rsidRPr="00071FE0">
              <w:rPr>
                <w:rFonts w:cs="Times New Roman"/>
                <w:b/>
                <w:szCs w:val="26"/>
              </w:rPr>
              <w:t>Πίνακας 1</w:t>
            </w:r>
            <w:r>
              <w:rPr>
                <w:rFonts w:eastAsia="Times New Roman"/>
              </w:rPr>
              <w:t>(ΦΠΑ)</w:t>
            </w:r>
            <w:r w:rsidRPr="00071FE0">
              <w:rPr>
                <w:rFonts w:cs="Times New Roman"/>
                <w:b/>
                <w:szCs w:val="26"/>
              </w:rPr>
              <w:t>:</w:t>
            </w:r>
            <w:r w:rsidRPr="008B7142">
              <w:rPr>
                <w:rFonts w:cs="Times New Roman"/>
                <w:szCs w:val="26"/>
              </w:rPr>
              <w:t xml:space="preserve"> Κόστος Μισθοδοσίας και Λειτουργικό Κόστος μίας μέσης (ατομικής) επιχείρησης Λιανικού Εμπορίου, σε ετήσια βάση</w:t>
            </w:r>
          </w:p>
        </w:tc>
      </w:tr>
      <w:tr w:rsidR="00592DD0" w:rsidRPr="008B7142" w:rsidTr="00CA623E">
        <w:trPr>
          <w:trHeight w:hRule="exact" w:val="458"/>
        </w:trPr>
        <w:tc>
          <w:tcPr>
            <w:tcW w:w="3552" w:type="dxa"/>
            <w:tcBorders>
              <w:top w:val="threeDEngrave" w:sz="24" w:space="0" w:color="auto"/>
              <w:bottom w:val="double" w:sz="4" w:space="0" w:color="auto"/>
              <w:right w:val="double" w:sz="4" w:space="0" w:color="auto"/>
            </w:tcBorders>
            <w:vAlign w:val="center"/>
          </w:tcPr>
          <w:p w:rsidR="00592DD0" w:rsidRPr="008B7142" w:rsidRDefault="00592DD0" w:rsidP="00CA623E">
            <w:pPr>
              <w:rPr>
                <w:rFonts w:cs="Times New Roman"/>
                <w:szCs w:val="26"/>
              </w:rPr>
            </w:pPr>
            <w:r w:rsidRPr="008B7142">
              <w:rPr>
                <w:rFonts w:cs="Times New Roman"/>
                <w:szCs w:val="26"/>
              </w:rPr>
              <w:t xml:space="preserve">Μίσθωση εμπορικού ακινήτου </w:t>
            </w:r>
            <w:r w:rsidRPr="008B7142">
              <w:rPr>
                <w:rFonts w:cs="Times New Roman"/>
                <w:i/>
                <w:szCs w:val="26"/>
              </w:rPr>
              <w:t>(ενοίκιο)</w:t>
            </w:r>
          </w:p>
        </w:tc>
        <w:tc>
          <w:tcPr>
            <w:tcW w:w="4103" w:type="dxa"/>
            <w:tcBorders>
              <w:top w:val="threeDEngrave" w:sz="24" w:space="0" w:color="auto"/>
              <w:left w:val="double" w:sz="4" w:space="0" w:color="auto"/>
              <w:bottom w:val="double" w:sz="4" w:space="0" w:color="auto"/>
            </w:tcBorders>
            <w:vAlign w:val="center"/>
          </w:tcPr>
          <w:p w:rsidR="00592DD0" w:rsidRPr="008B7142" w:rsidRDefault="00592DD0" w:rsidP="00CA623E">
            <w:pPr>
              <w:rPr>
                <w:rFonts w:cs="Times New Roman"/>
                <w:szCs w:val="26"/>
              </w:rPr>
            </w:pPr>
            <w:r w:rsidRPr="008B7142">
              <w:rPr>
                <w:rFonts w:cs="Times New Roman"/>
                <w:szCs w:val="26"/>
              </w:rPr>
              <w:t>6.000 €</w:t>
            </w:r>
          </w:p>
        </w:tc>
      </w:tr>
      <w:tr w:rsidR="00592DD0" w:rsidRPr="008B7142" w:rsidTr="00CA623E">
        <w:trPr>
          <w:trHeight w:hRule="exact" w:val="548"/>
        </w:trPr>
        <w:tc>
          <w:tcPr>
            <w:tcW w:w="3552" w:type="dxa"/>
            <w:tcBorders>
              <w:top w:val="double" w:sz="4" w:space="0" w:color="auto"/>
              <w:bottom w:val="threeDEngrave" w:sz="24" w:space="0" w:color="auto"/>
              <w:right w:val="double" w:sz="4" w:space="0" w:color="auto"/>
            </w:tcBorders>
            <w:vAlign w:val="center"/>
          </w:tcPr>
          <w:p w:rsidR="00592DD0" w:rsidRPr="008B7142" w:rsidRDefault="00592DD0" w:rsidP="00CA623E">
            <w:pPr>
              <w:rPr>
                <w:rFonts w:cs="Times New Roman"/>
                <w:szCs w:val="26"/>
              </w:rPr>
            </w:pPr>
            <w:r w:rsidRPr="008B7142">
              <w:rPr>
                <w:rFonts w:cs="Times New Roman"/>
                <w:szCs w:val="26"/>
              </w:rPr>
              <w:t xml:space="preserve">Κατανάλωση ηλεκτρικής Ενέργειας </w:t>
            </w:r>
            <w:r w:rsidRPr="008B7142">
              <w:rPr>
                <w:rFonts w:cs="Times New Roman"/>
                <w:i/>
                <w:szCs w:val="26"/>
              </w:rPr>
              <w:t>(Λογαριασμός ΔΕΗ)</w:t>
            </w:r>
          </w:p>
        </w:tc>
        <w:tc>
          <w:tcPr>
            <w:tcW w:w="4103" w:type="dxa"/>
            <w:tcBorders>
              <w:top w:val="double" w:sz="4" w:space="0" w:color="auto"/>
              <w:left w:val="double" w:sz="4" w:space="0" w:color="auto"/>
              <w:bottom w:val="threeDEngrave" w:sz="24" w:space="0" w:color="auto"/>
            </w:tcBorders>
            <w:vAlign w:val="center"/>
          </w:tcPr>
          <w:p w:rsidR="00592DD0" w:rsidRPr="008B7142" w:rsidRDefault="00592DD0" w:rsidP="00CA623E">
            <w:pPr>
              <w:rPr>
                <w:rFonts w:cs="Times New Roman"/>
                <w:szCs w:val="26"/>
              </w:rPr>
            </w:pPr>
            <w:r w:rsidRPr="008B7142">
              <w:rPr>
                <w:rFonts w:cs="Times New Roman"/>
                <w:szCs w:val="26"/>
              </w:rPr>
              <w:t>1.980 €</w:t>
            </w:r>
          </w:p>
        </w:tc>
      </w:tr>
      <w:tr w:rsidR="00592DD0" w:rsidRPr="008B7142" w:rsidTr="00CA623E">
        <w:trPr>
          <w:trHeight w:hRule="exact" w:val="429"/>
        </w:trPr>
        <w:tc>
          <w:tcPr>
            <w:tcW w:w="3552" w:type="dxa"/>
            <w:tcBorders>
              <w:top w:val="threeDEngrave" w:sz="24" w:space="0" w:color="auto"/>
              <w:bottom w:val="threeDEngrave" w:sz="24" w:space="0" w:color="auto"/>
              <w:right w:val="double" w:sz="4" w:space="0" w:color="auto"/>
            </w:tcBorders>
            <w:shd w:val="clear" w:color="auto" w:fill="C6D9F1" w:themeFill="text2" w:themeFillTint="33"/>
            <w:vAlign w:val="center"/>
          </w:tcPr>
          <w:p w:rsidR="00592DD0" w:rsidRPr="008B7142" w:rsidRDefault="00592DD0" w:rsidP="00CA623E">
            <w:pPr>
              <w:rPr>
                <w:rFonts w:cs="Times New Roman"/>
                <w:szCs w:val="26"/>
              </w:rPr>
            </w:pPr>
            <w:r w:rsidRPr="008B7142">
              <w:rPr>
                <w:rFonts w:cs="Times New Roman"/>
                <w:szCs w:val="26"/>
              </w:rPr>
              <w:t>Λειτουργικό Κόστος  (1)</w:t>
            </w:r>
          </w:p>
        </w:tc>
        <w:tc>
          <w:tcPr>
            <w:tcW w:w="4103" w:type="dxa"/>
            <w:tcBorders>
              <w:top w:val="threeDEngrave" w:sz="24" w:space="0" w:color="auto"/>
              <w:left w:val="double" w:sz="4" w:space="0" w:color="auto"/>
              <w:bottom w:val="threeDEngrave" w:sz="24" w:space="0" w:color="auto"/>
            </w:tcBorders>
            <w:shd w:val="clear" w:color="auto" w:fill="C6D9F1" w:themeFill="text2" w:themeFillTint="33"/>
            <w:vAlign w:val="center"/>
          </w:tcPr>
          <w:p w:rsidR="00592DD0" w:rsidRPr="008B7142" w:rsidRDefault="00592DD0" w:rsidP="00CA623E">
            <w:pPr>
              <w:rPr>
                <w:rFonts w:cs="Times New Roman"/>
                <w:szCs w:val="26"/>
              </w:rPr>
            </w:pPr>
            <w:r w:rsidRPr="00F86429">
              <w:rPr>
                <w:rFonts w:cs="Times New Roman"/>
                <w:b/>
                <w:szCs w:val="26"/>
              </w:rPr>
              <w:t>7.980</w:t>
            </w:r>
            <w:r w:rsidRPr="008B7142">
              <w:rPr>
                <w:rFonts w:cs="Times New Roman"/>
                <w:szCs w:val="26"/>
              </w:rPr>
              <w:t xml:space="preserve"> € (1)</w:t>
            </w:r>
          </w:p>
        </w:tc>
      </w:tr>
      <w:tr w:rsidR="00592DD0" w:rsidRPr="008B7142" w:rsidTr="00CA623E">
        <w:trPr>
          <w:trHeight w:hRule="exact" w:val="1061"/>
        </w:trPr>
        <w:tc>
          <w:tcPr>
            <w:tcW w:w="3552" w:type="dxa"/>
            <w:tcBorders>
              <w:top w:val="threeDEngrave" w:sz="24" w:space="0" w:color="auto"/>
              <w:bottom w:val="threeDEngrave" w:sz="24" w:space="0" w:color="auto"/>
              <w:right w:val="double" w:sz="4" w:space="0" w:color="auto"/>
            </w:tcBorders>
            <w:vAlign w:val="center"/>
          </w:tcPr>
          <w:p w:rsidR="00592DD0" w:rsidRPr="00EF035A" w:rsidRDefault="00592DD0" w:rsidP="00CA623E">
            <w:pPr>
              <w:rPr>
                <w:rFonts w:cs="Times New Roman"/>
                <w:szCs w:val="26"/>
              </w:rPr>
            </w:pPr>
            <w:r w:rsidRPr="008B7142">
              <w:rPr>
                <w:rFonts w:cs="Times New Roman"/>
                <w:szCs w:val="26"/>
              </w:rPr>
              <w:t>Απασχόληση πωλητή, άγαμου, με 3 χρόνια προϋπηρεσίας</w:t>
            </w:r>
          </w:p>
          <w:p w:rsidR="00592DD0" w:rsidRPr="00EF035A" w:rsidRDefault="00592DD0" w:rsidP="00CA623E">
            <w:pPr>
              <w:rPr>
                <w:rFonts w:cs="Times New Roman"/>
                <w:szCs w:val="26"/>
              </w:rPr>
            </w:pPr>
          </w:p>
        </w:tc>
        <w:tc>
          <w:tcPr>
            <w:tcW w:w="4103" w:type="dxa"/>
            <w:tcBorders>
              <w:top w:val="threeDEngrave" w:sz="24" w:space="0" w:color="auto"/>
              <w:left w:val="double" w:sz="4" w:space="0" w:color="auto"/>
              <w:bottom w:val="threeDEngrave" w:sz="24" w:space="0" w:color="auto"/>
            </w:tcBorders>
            <w:vAlign w:val="center"/>
          </w:tcPr>
          <w:p w:rsidR="00592DD0" w:rsidRPr="008B7142" w:rsidRDefault="00592DD0" w:rsidP="00CA623E">
            <w:pPr>
              <w:rPr>
                <w:rFonts w:cs="Times New Roman"/>
                <w:szCs w:val="26"/>
              </w:rPr>
            </w:pPr>
            <w:r w:rsidRPr="008B7142">
              <w:rPr>
                <w:rFonts w:cs="Times New Roman"/>
                <w:szCs w:val="26"/>
              </w:rPr>
              <w:t>15.860 €</w:t>
            </w:r>
          </w:p>
        </w:tc>
      </w:tr>
      <w:tr w:rsidR="00592DD0" w:rsidRPr="008B7142" w:rsidTr="00CA623E">
        <w:trPr>
          <w:trHeight w:hRule="exact" w:val="475"/>
        </w:trPr>
        <w:tc>
          <w:tcPr>
            <w:tcW w:w="3552" w:type="dxa"/>
            <w:tcBorders>
              <w:top w:val="threeDEngrave" w:sz="24" w:space="0" w:color="auto"/>
              <w:bottom w:val="threeDEngrave" w:sz="24" w:space="0" w:color="auto"/>
              <w:right w:val="double" w:sz="4" w:space="0" w:color="auto"/>
            </w:tcBorders>
            <w:shd w:val="clear" w:color="auto" w:fill="C6D9F1" w:themeFill="text2" w:themeFillTint="33"/>
            <w:vAlign w:val="center"/>
          </w:tcPr>
          <w:p w:rsidR="00592DD0" w:rsidRPr="008B7142" w:rsidRDefault="00592DD0" w:rsidP="00CA623E">
            <w:pPr>
              <w:rPr>
                <w:rFonts w:cs="Times New Roman"/>
                <w:szCs w:val="26"/>
              </w:rPr>
            </w:pPr>
            <w:r w:rsidRPr="008B7142">
              <w:rPr>
                <w:rFonts w:cs="Times New Roman"/>
                <w:szCs w:val="26"/>
              </w:rPr>
              <w:t>Κόστος Μισθοδοσίας (2)</w:t>
            </w:r>
          </w:p>
        </w:tc>
        <w:tc>
          <w:tcPr>
            <w:tcW w:w="4103" w:type="dxa"/>
            <w:tcBorders>
              <w:top w:val="threeDEngrave" w:sz="24" w:space="0" w:color="auto"/>
              <w:left w:val="double" w:sz="4" w:space="0" w:color="auto"/>
              <w:bottom w:val="threeDEngrave" w:sz="24" w:space="0" w:color="auto"/>
            </w:tcBorders>
            <w:shd w:val="clear" w:color="auto" w:fill="C6D9F1" w:themeFill="text2" w:themeFillTint="33"/>
            <w:vAlign w:val="center"/>
          </w:tcPr>
          <w:p w:rsidR="00592DD0" w:rsidRPr="008B7142" w:rsidRDefault="00592DD0" w:rsidP="00CA623E">
            <w:pPr>
              <w:rPr>
                <w:rFonts w:cs="Times New Roman"/>
                <w:szCs w:val="26"/>
              </w:rPr>
            </w:pPr>
            <w:r w:rsidRPr="008B7142">
              <w:rPr>
                <w:rFonts w:cs="Times New Roman"/>
                <w:szCs w:val="26"/>
              </w:rPr>
              <w:t>15.860 € (2)</w:t>
            </w:r>
          </w:p>
        </w:tc>
      </w:tr>
      <w:tr w:rsidR="00592DD0" w:rsidRPr="008B7142" w:rsidTr="00CA623E">
        <w:trPr>
          <w:trHeight w:hRule="exact" w:val="449"/>
        </w:trPr>
        <w:tc>
          <w:tcPr>
            <w:tcW w:w="3552" w:type="dxa"/>
            <w:tcBorders>
              <w:top w:val="threeDEngrave" w:sz="24" w:space="0" w:color="auto"/>
              <w:bottom w:val="threeDEngrave" w:sz="24" w:space="0" w:color="auto"/>
              <w:right w:val="double" w:sz="4" w:space="0" w:color="auto"/>
            </w:tcBorders>
            <w:shd w:val="clear" w:color="auto" w:fill="C6D9F1" w:themeFill="text2" w:themeFillTint="33"/>
            <w:vAlign w:val="center"/>
          </w:tcPr>
          <w:p w:rsidR="00592DD0" w:rsidRPr="008B7142" w:rsidRDefault="00592DD0" w:rsidP="00CA623E">
            <w:pPr>
              <w:rPr>
                <w:rFonts w:cs="Times New Roman"/>
                <w:szCs w:val="26"/>
              </w:rPr>
            </w:pPr>
            <w:r w:rsidRPr="008B7142">
              <w:rPr>
                <w:rFonts w:cs="Times New Roman"/>
                <w:szCs w:val="26"/>
              </w:rPr>
              <w:t>Συνολικό  Κόστος Επιχείρησης (1) + (2)</w:t>
            </w:r>
          </w:p>
        </w:tc>
        <w:tc>
          <w:tcPr>
            <w:tcW w:w="4103" w:type="dxa"/>
            <w:tcBorders>
              <w:top w:val="threeDEngrave" w:sz="24" w:space="0" w:color="auto"/>
              <w:left w:val="double" w:sz="4" w:space="0" w:color="auto"/>
              <w:bottom w:val="threeDEngrave" w:sz="24" w:space="0" w:color="auto"/>
            </w:tcBorders>
            <w:shd w:val="clear" w:color="auto" w:fill="C6D9F1" w:themeFill="text2" w:themeFillTint="33"/>
            <w:vAlign w:val="center"/>
          </w:tcPr>
          <w:p w:rsidR="00592DD0" w:rsidRPr="008B7142" w:rsidRDefault="00592DD0" w:rsidP="00CA623E">
            <w:pPr>
              <w:rPr>
                <w:rFonts w:cs="Times New Roman"/>
                <w:szCs w:val="26"/>
              </w:rPr>
            </w:pPr>
            <w:r w:rsidRPr="00F86429">
              <w:rPr>
                <w:rFonts w:cs="Times New Roman"/>
                <w:b/>
                <w:szCs w:val="26"/>
              </w:rPr>
              <w:t>23.840</w:t>
            </w:r>
            <w:r w:rsidRPr="008B7142">
              <w:rPr>
                <w:rFonts w:cs="Times New Roman"/>
                <w:szCs w:val="26"/>
              </w:rPr>
              <w:t xml:space="preserve"> € (1) + (2)</w:t>
            </w:r>
          </w:p>
        </w:tc>
      </w:tr>
    </w:tbl>
    <w:p w:rsidR="00592DD0" w:rsidRDefault="00592DD0" w:rsidP="00592DD0">
      <w:pPr>
        <w:rPr>
          <w:rFonts w:eastAsia="Times New Roman"/>
        </w:rPr>
      </w:pPr>
    </w:p>
    <w:p w:rsidR="00625048" w:rsidRPr="00592DD0" w:rsidRDefault="009061A6" w:rsidP="00592DD0">
      <w:pPr>
        <w:rPr>
          <w:rFonts w:eastAsia="Times New Roman"/>
        </w:rPr>
      </w:pPr>
      <w:r w:rsidRPr="00592DD0">
        <w:rPr>
          <w:rFonts w:eastAsia="Times New Roman"/>
        </w:rPr>
        <w:t xml:space="preserve">Με βάση λοιπόν τα παραπάνω στοιχεία και προκειμένου μία μικρή αντιπροσωπευτική εμπορική επιχείρηση στον τομέα του Λιανικού Εμπορίου να καταστεί βιώσιμη, κερδοφόρα και να μπορέσει να ανταποκριθεί στο σύνολο των υποχρεώσεών της, απαιτείται να διενεργεί σε ετήσια βάση έναν minimum κύκλο εργασιών περίπου 20.000 – 25.000 ευρώ, για τον οποίο θα πρέπει να της δίνεται η δυνατότητα εξαίρεσης από την υποχρέωση του ΦΠΑ.  Η διεύρυνση του προς </w:t>
      </w:r>
      <w:r w:rsidRPr="00592DD0">
        <w:rPr>
          <w:rFonts w:eastAsia="Times New Roman"/>
        </w:rPr>
        <w:lastRenderedPageBreak/>
        <w:t>υιοθέτηση ποσού σε ένα επίπεδο ίσο ή μεγαλύτερο των 20.000 ευρώ, θα αποτελέσει μία πραγματική οικονομική ανάσα στην ασθμαίνουσα αγορά,  απαλλάσσοντας την από περιττά έξοδα και γραφειοκρατικά εμπόδια, ενώ ταυτόχρονα θα συνεισφέρει στην τόνωση των δημοσίων εσόδων, ένεκα των βελτιωτικών προβλέψεων εισπραξιμότητας του Φόρου Εισοδήματος (ΦΕΦΠ, ΦΕΝΠ).</w:t>
      </w:r>
      <w:r w:rsidRPr="00592DD0">
        <w:rPr>
          <w:rFonts w:eastAsia="Times New Roman"/>
        </w:rPr>
        <w:br/>
        <w:t xml:space="preserve">Ως εκ τούτου, η επαναξιολόγηση του προς θέσπιση ποσού θα πρέπει να αποτελέσει βασικό μέλημα των υπεύθυνων άσκησης δημοσιονομικής πολιτικής, έτσι  ώστε τις ευεργετικές συνέπειες του μέτρου να καρπωθούν οι "start-up" επιχειρηματικές μονάδες που στα πρώτα τους βήματα αποτελούν τη μικρή επιχειρηματικότητα της ελληνικής οικονομίας </w:t>
      </w:r>
      <w:r w:rsidR="00625048" w:rsidRPr="00592DD0">
        <w:rPr>
          <w:rFonts w:eastAsia="Times New Roman"/>
        </w:rPr>
        <w:t>και χρήζουν άμεσης αρωγής.</w:t>
      </w:r>
    </w:p>
    <w:p w:rsidR="00625048" w:rsidRDefault="009061A6" w:rsidP="00625048">
      <w:pPr>
        <w:pStyle w:val="a3"/>
        <w:numPr>
          <w:ilvl w:val="0"/>
          <w:numId w:val="9"/>
        </w:numPr>
        <w:rPr>
          <w:rFonts w:eastAsia="Times New Roman"/>
        </w:rPr>
      </w:pPr>
      <w:r w:rsidRPr="00DF238F">
        <w:rPr>
          <w:rFonts w:eastAsia="Times New Roman"/>
          <w:b/>
        </w:rPr>
        <w:t>Ισχύς του μέτρου της συλλογής αποδείξεων και στους ελεύθερους επαγγελματίες</w:t>
      </w:r>
      <w:r w:rsidRPr="00625048">
        <w:rPr>
          <w:rFonts w:eastAsia="Times New Roman"/>
        </w:rPr>
        <w:t xml:space="preserve">: Η επιλεκτική εφαρμογή του μέτρου συλλογής των αποδείξεων σε συγκεκριμένες μόνο ομάδες, όπως οι μισθωτοί και συνταξιούχοι, αγγίζει τα όρια του παραλογισμού, καθώς στην ουσία στερεί τη δυνατότητα κάρπωσης φορολογικών ελαφρύνσεων από την πλευρά των επιτηδευματιών/ελεύθερων επαγγελματιών, υποτιμώντας την πολύτιμη συνεισφορά τους στην προσπάθεια τόνωσης της καταναλωτικής δαπάνης. Η ΕΣΕΕ έχει από μακρού προτείνει να </w:t>
      </w:r>
      <w:r w:rsidRPr="00592DD0">
        <w:rPr>
          <w:rFonts w:eastAsia="Times New Roman"/>
          <w:b/>
        </w:rPr>
        <w:t>εκπίπτει το σύνολο των αποδείξεων όλων των επαγγελματικών κλάδων και όλων των φορολογουμένων κατά ένα ποσοστό από το εισόδημα και το υπόλοιπο αυτού να φορολογείται με βάση την υφιστάμενη φορολογική κλίμακα</w:t>
      </w:r>
      <w:r w:rsidRPr="00625048">
        <w:rPr>
          <w:rFonts w:eastAsia="Times New Roman"/>
        </w:rPr>
        <w:t>. Η αφομοίωση ενός τέτοιου συστήματος θα βελτίωνε τη φορολογική συνείδηση των υπόχρεων, παρέχοντάς τους ένα ισχυρό κίνητρο συλλογής απο</w:t>
      </w:r>
      <w:r w:rsidR="00625048">
        <w:rPr>
          <w:rFonts w:eastAsia="Times New Roman"/>
        </w:rPr>
        <w:t>δείξεων από όλους ανεξαιρέτως.</w:t>
      </w:r>
    </w:p>
    <w:p w:rsidR="00581981" w:rsidRDefault="00581981" w:rsidP="004F4C75">
      <w:pPr>
        <w:rPr>
          <w:rFonts w:eastAsia="Times New Roman" w:cs="Times New Roman"/>
          <w:b/>
          <w:szCs w:val="26"/>
          <w:u w:val="single"/>
        </w:rPr>
      </w:pPr>
    </w:p>
    <w:p w:rsidR="004F4C75" w:rsidRPr="00EB3ABE" w:rsidRDefault="004F4C75" w:rsidP="004F4C75">
      <w:pPr>
        <w:rPr>
          <w:szCs w:val="26"/>
        </w:rPr>
      </w:pPr>
      <w:r w:rsidRPr="00AD72B9">
        <w:rPr>
          <w:rFonts w:eastAsia="Times New Roman" w:cs="Times New Roman"/>
          <w:b/>
          <w:szCs w:val="26"/>
          <w:u w:val="single"/>
        </w:rPr>
        <w:t>IX. ΑΠΟΔΟΧΗ ΚΑΙ ΥΛΟΠΟΙΗΣΗ ΠΡΟΤΑΣΗΣ ΕΣΕΕ ΓΙΑ ΛΥΣΗ ΣΤΟΝ ΟΑΕΕ</w:t>
      </w:r>
      <w:r w:rsidRPr="00AD72B9">
        <w:rPr>
          <w:rFonts w:eastAsia="Times New Roman" w:cs="Times New Roman"/>
          <w:b/>
          <w:szCs w:val="26"/>
        </w:rPr>
        <w:br/>
      </w:r>
      <w:r w:rsidRPr="00FF6318">
        <w:rPr>
          <w:rFonts w:eastAsia="Times New Roman" w:cs="Times New Roman"/>
          <w:szCs w:val="26"/>
        </w:rPr>
        <w:t xml:space="preserve">Η ΕΣΕΕ επαναφέρει και επιμένει στη </w:t>
      </w:r>
      <w:r>
        <w:rPr>
          <w:szCs w:val="26"/>
        </w:rPr>
        <w:t xml:space="preserve">πρόταση της για </w:t>
      </w:r>
      <w:r w:rsidRPr="00D3503C">
        <w:rPr>
          <w:b/>
          <w:szCs w:val="26"/>
        </w:rPr>
        <w:t>"πάγωμα"</w:t>
      </w:r>
      <w:r>
        <w:rPr>
          <w:szCs w:val="26"/>
        </w:rPr>
        <w:t xml:space="preserve"> και</w:t>
      </w:r>
      <w:r w:rsidRPr="00FF6318">
        <w:rPr>
          <w:rFonts w:eastAsia="Times New Roman" w:cs="Times New Roman"/>
          <w:szCs w:val="26"/>
        </w:rPr>
        <w:t xml:space="preserve"> </w:t>
      </w:r>
      <w:r w:rsidRPr="00D3503C">
        <w:rPr>
          <w:rFonts w:eastAsia="Times New Roman" w:cs="Times New Roman"/>
          <w:b/>
          <w:szCs w:val="26"/>
        </w:rPr>
        <w:t xml:space="preserve">"κεφαλαιοποίηση" </w:t>
      </w:r>
      <w:r w:rsidRPr="00FF6318">
        <w:rPr>
          <w:rFonts w:eastAsia="Times New Roman" w:cs="Times New Roman"/>
          <w:szCs w:val="26"/>
        </w:rPr>
        <w:t xml:space="preserve">των παλαιών ληξιπρόθεσμων οφειλών στον ΟΑΕΕ, αλλά με </w:t>
      </w:r>
      <w:r w:rsidRPr="00FF6318">
        <w:rPr>
          <w:rFonts w:eastAsia="Times New Roman" w:cs="Times New Roman"/>
          <w:szCs w:val="26"/>
        </w:rPr>
        <w:lastRenderedPageBreak/>
        <w:t xml:space="preserve">προϋπόθεση την επανέναρξη καταβολής των τρεχουσών ασφαλιστικών εισφορών ώστε να ξεκολλήσει το Ταμείο από το εισπρακτικό αδιέξοδο των κατά 52% μειωμένων εσόδων </w:t>
      </w:r>
      <w:r>
        <w:rPr>
          <w:szCs w:val="26"/>
        </w:rPr>
        <w:t xml:space="preserve">του </w:t>
      </w:r>
      <w:r w:rsidRPr="00FF6318">
        <w:rPr>
          <w:rFonts w:eastAsia="Times New Roman" w:cs="Times New Roman"/>
          <w:szCs w:val="26"/>
        </w:rPr>
        <w:t>και να μπορεί να καλύψει την ανάγκη ιατροφαρμακευτικής κάλυψης των εν ενεργεία ασφαλισμένων στον ΟΑΕΕ, οι οποίοι έχουν οφειλές τις οποίες, λόγω της οικονομικής δυσπραγίας, αδυνατούν προσωρινά να αποπληρώσουν.</w:t>
      </w:r>
      <w:r w:rsidRPr="00FF6318">
        <w:rPr>
          <w:rFonts w:eastAsia="Times New Roman" w:cs="Times New Roman"/>
          <w:szCs w:val="26"/>
        </w:rPr>
        <w:br/>
        <w:t>Ειδικά για την κρίσιμη περίοδο 2010-2014 είναι επιβεβλημένο αφενός το «πάγωμα» (κεφαλαιοποίηση) των παλα</w:t>
      </w:r>
      <w:r>
        <w:rPr>
          <w:szCs w:val="26"/>
        </w:rPr>
        <w:t>ιών οφειλών και αφετέρου να</w:t>
      </w:r>
      <w:r w:rsidRPr="00FF6318">
        <w:rPr>
          <w:rFonts w:eastAsia="Times New Roman" w:cs="Times New Roman"/>
          <w:szCs w:val="26"/>
        </w:rPr>
        <w:t xml:space="preserve"> δοθεί </w:t>
      </w:r>
      <w:r>
        <w:rPr>
          <w:szCs w:val="26"/>
        </w:rPr>
        <w:t xml:space="preserve">στους οφειλέτες </w:t>
      </w:r>
      <w:r w:rsidR="00744D8E">
        <w:rPr>
          <w:rFonts w:eastAsia="Times New Roman" w:cs="Times New Roman"/>
          <w:szCs w:val="26"/>
        </w:rPr>
        <w:t>η δυνατότητα να θεωρούνται ασφαλιστικά ενήμεροι, καταβάλλοντας</w:t>
      </w:r>
      <w:r w:rsidRPr="00FF6318">
        <w:rPr>
          <w:rFonts w:eastAsia="Times New Roman" w:cs="Times New Roman"/>
          <w:szCs w:val="26"/>
        </w:rPr>
        <w:t xml:space="preserve"> τη</w:t>
      </w:r>
      <w:r w:rsidR="00744D8E">
        <w:rPr>
          <w:rFonts w:eastAsia="Times New Roman" w:cs="Times New Roman"/>
          <w:szCs w:val="26"/>
        </w:rPr>
        <w:t>ν</w:t>
      </w:r>
      <w:r w:rsidRPr="00FF6318">
        <w:rPr>
          <w:rFonts w:eastAsia="Times New Roman" w:cs="Times New Roman"/>
          <w:szCs w:val="26"/>
        </w:rPr>
        <w:t xml:space="preserve"> τρέχουσα εισφορά με ελεύθερη επ</w:t>
      </w:r>
      <w:r w:rsidR="00744D8E">
        <w:rPr>
          <w:rFonts w:eastAsia="Times New Roman" w:cs="Times New Roman"/>
          <w:szCs w:val="26"/>
        </w:rPr>
        <w:t>ιλογή κλάσης</w:t>
      </w:r>
      <w:r w:rsidRPr="00FF6318">
        <w:rPr>
          <w:rFonts w:eastAsia="Times New Roman" w:cs="Times New Roman"/>
          <w:szCs w:val="26"/>
        </w:rPr>
        <w:t xml:space="preserve">. Με αυτόν τον τρόπο </w:t>
      </w:r>
      <w:r w:rsidRPr="00D3503C">
        <w:rPr>
          <w:rFonts w:eastAsia="Times New Roman" w:cs="Times New Roman"/>
          <w:b/>
          <w:szCs w:val="26"/>
        </w:rPr>
        <w:t>θα μπορούν να συνεχίσουν την επαγγελματική τους δραστηριότητα</w:t>
      </w:r>
      <w:r w:rsidRPr="00FF6318">
        <w:rPr>
          <w:rFonts w:eastAsia="Times New Roman" w:cs="Times New Roman"/>
          <w:szCs w:val="26"/>
        </w:rPr>
        <w:t xml:space="preserve"> </w:t>
      </w:r>
      <w:r w:rsidRPr="00D3503C">
        <w:rPr>
          <w:rFonts w:eastAsia="Times New Roman" w:cs="Times New Roman"/>
          <w:b/>
          <w:szCs w:val="26"/>
        </w:rPr>
        <w:t>και παράλληλα να διατηρήσουν το δικαίωμα στην ιατροφαρμακευτική περίθαλψη</w:t>
      </w:r>
      <w:r w:rsidRPr="00FF6318">
        <w:rPr>
          <w:rFonts w:eastAsia="Times New Roman" w:cs="Times New Roman"/>
          <w:szCs w:val="26"/>
        </w:rPr>
        <w:t xml:space="preserve"> τόσο για τους ίδιους, όσο και για τα έμμεσα ασφαλισμένα μέλη της οικογένειάς τους.</w:t>
      </w:r>
      <w:r w:rsidR="00DF238F">
        <w:rPr>
          <w:rFonts w:eastAsia="Times New Roman" w:cs="Times New Roman"/>
          <w:szCs w:val="26"/>
        </w:rPr>
        <w:t xml:space="preserve">  Η ΕΣΕΕ δεν παραγνωρίζει τις πρόσφατες αποφάσεις των Υπουργείων Υγείας και Εργασίας για την προσωρινή κάλυψη της ιατροφαρμακευτικής περίθαλψης των οφειλετών επιχειρηματιών μέχρι τον Φεβρουάριο του 2015, πλην όμως δεν παύει να είναι προσωρινή, ενώ η πρότασή μας λύνει το πρόβλημα σε μόνιμη βάση.  Παράλληλα, η υλοποίησή της</w:t>
      </w:r>
      <w:r w:rsidRPr="00FF6318">
        <w:rPr>
          <w:rFonts w:eastAsia="Times New Roman" w:cs="Times New Roman"/>
          <w:szCs w:val="26"/>
        </w:rPr>
        <w:t xml:space="preserve"> θα ωφελήσει τα έσοδα του ΟΑΕΕ, ενώ για την </w:t>
      </w:r>
      <w:r w:rsidRPr="00FF6318">
        <w:rPr>
          <w:szCs w:val="26"/>
        </w:rPr>
        <w:t>επίσπευση</w:t>
      </w:r>
      <w:r w:rsidRPr="00FF6318">
        <w:rPr>
          <w:rFonts w:eastAsia="Times New Roman" w:cs="Times New Roman"/>
          <w:szCs w:val="26"/>
        </w:rPr>
        <w:t xml:space="preserve"> </w:t>
      </w:r>
      <w:r w:rsidRPr="00EB3ABE">
        <w:rPr>
          <w:rFonts w:eastAsia="Times New Roman" w:cs="Times New Roman"/>
          <w:szCs w:val="26"/>
        </w:rPr>
        <w:t>των απαραίτητων διαδικασιών η ΕΣΕΕ έχει διατυπώσει σχέδιο διατύπωσης της εισηγητικής έκθεσης, της τροπολογίας και της</w:t>
      </w:r>
      <w:r w:rsidRPr="00EB3ABE">
        <w:rPr>
          <w:szCs w:val="26"/>
        </w:rPr>
        <w:t xml:space="preserve"> προσθήκης της σε σχέδιο νόμου, ως </w:t>
      </w:r>
      <w:r w:rsidRPr="00EB3ABE">
        <w:rPr>
          <w:rFonts w:eastAsia="Times New Roman" w:cs="Times New Roman"/>
          <w:szCs w:val="26"/>
        </w:rPr>
        <w:t>ακολούθως:</w:t>
      </w:r>
    </w:p>
    <w:p w:rsidR="004F4C75" w:rsidRPr="00EB3ABE" w:rsidRDefault="004F4C75" w:rsidP="004F4C75">
      <w:pPr>
        <w:pStyle w:val="a8"/>
        <w:spacing w:after="0" w:line="360" w:lineRule="auto"/>
        <w:jc w:val="center"/>
        <w:rPr>
          <w:i/>
          <w:sz w:val="26"/>
          <w:szCs w:val="26"/>
          <w:u w:val="single"/>
        </w:rPr>
      </w:pPr>
      <w:r>
        <w:rPr>
          <w:i/>
          <w:sz w:val="26"/>
          <w:szCs w:val="26"/>
          <w:u w:val="single"/>
        </w:rPr>
        <w:t>«</w:t>
      </w:r>
      <w:r w:rsidRPr="00EB3ABE">
        <w:rPr>
          <w:i/>
          <w:sz w:val="26"/>
          <w:szCs w:val="26"/>
          <w:u w:val="single"/>
        </w:rPr>
        <w:t>Εισηγητική Έκθεση</w:t>
      </w:r>
    </w:p>
    <w:p w:rsidR="004F4C75" w:rsidRPr="00EB3ABE" w:rsidRDefault="004F4C75" w:rsidP="004F4C75">
      <w:pPr>
        <w:pStyle w:val="a8"/>
        <w:spacing w:after="0" w:line="360" w:lineRule="auto"/>
        <w:rPr>
          <w:i/>
          <w:sz w:val="26"/>
          <w:szCs w:val="26"/>
        </w:rPr>
      </w:pPr>
      <w:r w:rsidRPr="00EB3ABE">
        <w:rPr>
          <w:i/>
          <w:sz w:val="26"/>
          <w:szCs w:val="26"/>
        </w:rPr>
        <w:t xml:space="preserve">Με την προτεινόμενη τροπολογία παρέχεται στους ασφαλισμένους του ΟΑΕΕ που έχουν ληξιπρόθεσμες οφειλές προς τον Οργανισμό, να ζητήσουν την κεφαλαιοποίησή τους.  Η τροπολογία, η οποία συμπίπτει με τα πάγια αιτήματα της Εθνικής Συνομοσπονδίας Ελληνικού Εμπορίου (ΕΣΕΕ),  έρχεται να αντιμετωπίσει την δεδομένη και συνεχώς διογκούμενη αδυναμία των ασφαλισμένων στον ΟΑΕΕ ελευθέρων επαγγελματιών να καταβάλλουν τις υποχρεώσεις τους και να ξεφύγουν από την μέγγενη των οφειλών, οι οποίες έχουν τόσο οικονομικό και </w:t>
      </w:r>
      <w:r w:rsidRPr="00EB3ABE">
        <w:rPr>
          <w:i/>
          <w:sz w:val="26"/>
          <w:szCs w:val="26"/>
        </w:rPr>
        <w:lastRenderedPageBreak/>
        <w:t>επιχειρηματικό αντίκτυπο στην αγορά, που συρρικνώνεται, όσο και προσωπικό κόστος, μέσω των αναγκαστικών μέτρων είσπραξης και των ποινικών διώξεων.</w:t>
      </w:r>
    </w:p>
    <w:p w:rsidR="004F4C75" w:rsidRPr="00EB3ABE" w:rsidRDefault="004F4C75" w:rsidP="004F4C75">
      <w:pPr>
        <w:pStyle w:val="a8"/>
        <w:spacing w:after="0" w:line="360" w:lineRule="auto"/>
        <w:rPr>
          <w:i/>
          <w:sz w:val="26"/>
          <w:szCs w:val="26"/>
        </w:rPr>
      </w:pPr>
      <w:r w:rsidRPr="00EB3ABE">
        <w:rPr>
          <w:i/>
          <w:sz w:val="26"/>
          <w:szCs w:val="26"/>
        </w:rPr>
        <w:t>Η εισαγωγή της κρίνεται απαραίτητη για τη στήριξη των οφειλετών, οι οποίοι εκτιμάται ότι έχουν ξεπεράσει τους 400.000, λόγω της δυσχερούς οικονομικής συγκυρίας και των σημαντικών προβλημάτων ταμειακής ρευστότητας που αντιμετωπίζουν και εντάσσεται στο πλαίσιο της γενικότερης προσπάθειας για την ανασύνταξη και την διατήρηση των δυνάμεων της αγοράς, την ανασυγκρότηση της εθνικής μας οικονομίας και την –τιθέμενη σε ρεαλιστικό πλαίσιο- αύξηση των εισροών του ΟΑΕΕ.</w:t>
      </w:r>
    </w:p>
    <w:p w:rsidR="004F4C75" w:rsidRPr="00EB3ABE" w:rsidRDefault="004F4C75" w:rsidP="004F4C75">
      <w:pPr>
        <w:rPr>
          <w:i/>
          <w:szCs w:val="26"/>
        </w:rPr>
      </w:pPr>
      <w:r w:rsidRPr="00EB3ABE">
        <w:rPr>
          <w:i/>
          <w:szCs w:val="26"/>
        </w:rPr>
        <w:t xml:space="preserve">Η κεφαλαιοποίηση των οφειλών: </w:t>
      </w:r>
    </w:p>
    <w:p w:rsidR="004F4C75" w:rsidRPr="00EB3ABE" w:rsidRDefault="004F4C75" w:rsidP="004F4C75">
      <w:pPr>
        <w:numPr>
          <w:ilvl w:val="0"/>
          <w:numId w:val="13"/>
        </w:numPr>
        <w:rPr>
          <w:i/>
          <w:szCs w:val="26"/>
        </w:rPr>
      </w:pPr>
      <w:r w:rsidRPr="00EB3ABE">
        <w:rPr>
          <w:i/>
          <w:szCs w:val="26"/>
        </w:rPr>
        <w:t xml:space="preserve">Θα δώσει μία ευκαιρία στους οφειλέτες του Οργανισμού να επανενταχθούν στην ασφαλιστική οικογένεια και να εφοδιαστούν με τις αναγκαίες ασφαλιστικές ενημερότητες, που θα τους επιτρέψουν να συμμετάσχουν στα προγράμματα ενίσχυσης των μικρομεσαίων επιχειρήσεων και να χρησιμοποιήσουν τα εργαλεία αυτά για να διασώσουν το επιτήδευμά τους.  </w:t>
      </w:r>
    </w:p>
    <w:p w:rsidR="004F4C75" w:rsidRPr="00EB3ABE" w:rsidRDefault="004F4C75" w:rsidP="004F4C75">
      <w:pPr>
        <w:numPr>
          <w:ilvl w:val="0"/>
          <w:numId w:val="13"/>
        </w:numPr>
        <w:rPr>
          <w:i/>
          <w:szCs w:val="26"/>
        </w:rPr>
      </w:pPr>
      <w:r w:rsidRPr="00EB3ABE">
        <w:rPr>
          <w:i/>
          <w:szCs w:val="26"/>
        </w:rPr>
        <w:t xml:space="preserve">Θα επιλύσει το κατεπείγον κοινωνικό ζήτημα που έχει δημιουργηθεί με την ιατροφαρμακευτική κάλυψη των ιδίων και των οικογενειών τους, την οποία τώρα στερούνται από τον ΕΟΠΥΥ, λόγω των οφειλών προς τον ΟΑΕΕ.  </w:t>
      </w:r>
    </w:p>
    <w:p w:rsidR="004F4C75" w:rsidRPr="00EB3ABE" w:rsidRDefault="004F4C75" w:rsidP="004F4C75">
      <w:pPr>
        <w:numPr>
          <w:ilvl w:val="0"/>
          <w:numId w:val="13"/>
        </w:numPr>
        <w:rPr>
          <w:i/>
          <w:szCs w:val="26"/>
        </w:rPr>
      </w:pPr>
      <w:r w:rsidRPr="00EB3ABE">
        <w:rPr>
          <w:i/>
          <w:szCs w:val="26"/>
        </w:rPr>
        <w:t xml:space="preserve">Θα ανακουφίσει τους οφειλέτες μέσω της αναστολής των αναγκαστικών μέτρων είσπραξης, εφόσον είναι εφεξής συνεπείς προς τις υποχρεώσεις τους απέναντι στον Οργανισμό.  </w:t>
      </w:r>
    </w:p>
    <w:p w:rsidR="004F4C75" w:rsidRPr="00EB3ABE" w:rsidRDefault="004F4C75" w:rsidP="004F4C75">
      <w:pPr>
        <w:pStyle w:val="a8"/>
        <w:spacing w:after="0" w:line="360" w:lineRule="auto"/>
        <w:rPr>
          <w:i/>
          <w:sz w:val="26"/>
          <w:szCs w:val="26"/>
        </w:rPr>
      </w:pPr>
      <w:r w:rsidRPr="00EB3ABE">
        <w:rPr>
          <w:i/>
          <w:sz w:val="26"/>
          <w:szCs w:val="26"/>
        </w:rPr>
        <w:t xml:space="preserve">Επιπλέον, λόγω της δυσμενούς οικονομικής συγκυρίας, που καθιστά για πολλούς οφειλέτες δυσχερή την ανταπόκρισή τους ακόμη και στις τρέχουσες ασφαλιστικές τους υποχρεώσεις, δίνεται η δυνατότητα στον οφειλέτη του οποίου οι οφειλές κεφαλαιοποιούνται, να μπορεί να επιλέξει ελεύθερα ασφαλιστική κατηγορία, ακόμη και όταν είναι χαμηλότερη από αυτήν που βρίσκεται σήμερα.  </w:t>
      </w:r>
    </w:p>
    <w:p w:rsidR="004F4C75" w:rsidRPr="00EB3ABE" w:rsidRDefault="004F4C75" w:rsidP="004F4C75">
      <w:pPr>
        <w:pStyle w:val="a8"/>
        <w:spacing w:after="0" w:line="360" w:lineRule="auto"/>
        <w:rPr>
          <w:i/>
          <w:sz w:val="26"/>
          <w:szCs w:val="26"/>
        </w:rPr>
      </w:pPr>
      <w:r w:rsidRPr="00EB3ABE">
        <w:rPr>
          <w:i/>
          <w:sz w:val="26"/>
          <w:szCs w:val="26"/>
        </w:rPr>
        <w:t xml:space="preserve">Τέλος, με την προς ψήφιση τροπολογία παύουν να συνιστούν ποινικό αδίκημα οι οφειλές των ασφαλισμένων προς τον ΟΑΕΕ.  Διορθώνεται έτσι μία στρέβλωση του νόμου, που από όλους τους ελεύθερους επαγγελματίες ήθελε να διώκονται ποινικά και για ίδιες εισφορές μόνο οι ασφαλισμένοι του ΟΑΕΕ, την στιγμή μάλιστα που η </w:t>
      </w:r>
      <w:r w:rsidRPr="00EB3ABE">
        <w:rPr>
          <w:i/>
          <w:sz w:val="26"/>
          <w:szCs w:val="26"/>
        </w:rPr>
        <w:lastRenderedPageBreak/>
        <w:t>μη ασφαλιστική ενημέρωση στερεί τους ίδιους και τις οικογένειές τους από την παροχή σύνταξης και την ιατροφαρμακευτική περίθαλψη.</w:t>
      </w:r>
    </w:p>
    <w:p w:rsidR="004F4C75" w:rsidRPr="00EB3ABE" w:rsidRDefault="004F4C75" w:rsidP="004F4C75">
      <w:pPr>
        <w:pStyle w:val="a8"/>
        <w:spacing w:after="0" w:line="360" w:lineRule="auto"/>
        <w:jc w:val="center"/>
        <w:rPr>
          <w:i/>
          <w:sz w:val="26"/>
          <w:szCs w:val="26"/>
          <w:u w:val="single"/>
        </w:rPr>
      </w:pPr>
      <w:r w:rsidRPr="00EB3ABE">
        <w:rPr>
          <w:i/>
          <w:sz w:val="26"/>
          <w:szCs w:val="26"/>
          <w:u w:val="single"/>
        </w:rPr>
        <w:t>Τροπολογία - Προσθήκη</w:t>
      </w:r>
    </w:p>
    <w:p w:rsidR="004F4C75" w:rsidRPr="00EB3ABE" w:rsidRDefault="004F4C75" w:rsidP="004F4C75">
      <w:pPr>
        <w:pStyle w:val="a8"/>
        <w:spacing w:after="0" w:line="360" w:lineRule="auto"/>
        <w:jc w:val="center"/>
        <w:rPr>
          <w:i/>
          <w:sz w:val="26"/>
          <w:szCs w:val="26"/>
          <w:u w:val="single"/>
        </w:rPr>
      </w:pPr>
      <w:r w:rsidRPr="00EB3ABE">
        <w:rPr>
          <w:i/>
          <w:sz w:val="26"/>
          <w:szCs w:val="26"/>
          <w:u w:val="single"/>
        </w:rPr>
        <w:t>Άρθρο…......</w:t>
      </w:r>
    </w:p>
    <w:p w:rsidR="004F4C75" w:rsidRPr="00EB3ABE" w:rsidRDefault="004F4C75" w:rsidP="004F4C75">
      <w:pPr>
        <w:pStyle w:val="a8"/>
        <w:spacing w:after="0" w:line="360" w:lineRule="auto"/>
        <w:rPr>
          <w:i/>
          <w:sz w:val="26"/>
          <w:szCs w:val="26"/>
        </w:rPr>
      </w:pPr>
      <w:r w:rsidRPr="00EB3ABE">
        <w:rPr>
          <w:i/>
          <w:sz w:val="26"/>
          <w:szCs w:val="26"/>
        </w:rPr>
        <w:t>Το Διοικητικό Συμβούλιο του Οργανισμού Ασφάλισης Ελευθέρων Επαγγελματιών, υποχρεούται, μετά από σχετική αίτηση του ασφαλισμένου, να προχωρήσει στην κεφαλαιοποίηση των μέχρι την δημοσίευση του παρόντος νόμου οφειλών του προς τον Οργανισμό άνω των είκοσι χιλιάδων (20.000) ευρώ, σε ενιαίο κεφάλαιο που θα περιλαμβάνει επίσης τις κάθε είδους προσαυξήσεις, πρόσθετα τέλη και λοιπές επιβαρύνσεις.  Από της κεφαλαιοποίησης και εφεξής, το ενιαίο κεφάλαιο επιβαρύνεται μόνο με επιτόκιο ένα τοις εκατό (1%) ετησίως.</w:t>
      </w:r>
    </w:p>
    <w:p w:rsidR="004F4C75" w:rsidRPr="00EB3ABE" w:rsidRDefault="004F4C75" w:rsidP="004F4C75">
      <w:pPr>
        <w:pStyle w:val="a8"/>
        <w:spacing w:after="0" w:line="360" w:lineRule="auto"/>
        <w:rPr>
          <w:i/>
          <w:sz w:val="26"/>
          <w:szCs w:val="26"/>
        </w:rPr>
      </w:pPr>
      <w:r w:rsidRPr="00EB3ABE">
        <w:rPr>
          <w:i/>
          <w:sz w:val="26"/>
          <w:szCs w:val="26"/>
        </w:rPr>
        <w:t>Στην ρύθμιση μπορούν να υπαχθούν όλοι οι υποχρεωτικά ασφαλισμένοι του ΟΑΕΕ που έχουν ληξιπρόθεσμες οφειλές προς τον Οργανισμό.  Εφόσον υπαχθούν στην ρύθμιση, οι ασφαλισμένοι με κεφαλαιοποιημένες οφειλές, μπορούν να λάβουν ασφαλιστική ενημερότητα και να έχουν πρόσβαση στις παροχές του Οργανισμού, υπό τον όρο ότι εφεξής θα καταβάλλουν τις τρέχουσες εισφορές τους κανονικά.  Η κανονική καταβολή των εισφορών αναστέλλει τα εισπρακτικά διοικητικά και αστικά μέτρα, που επιδιώκουν την είσπραξη μέρους ή του συνόλου της κεφαλαιοποιημένης οφειλής.</w:t>
      </w:r>
    </w:p>
    <w:p w:rsidR="004F4C75" w:rsidRPr="00EB3ABE" w:rsidRDefault="004F4C75" w:rsidP="004F4C75">
      <w:pPr>
        <w:pStyle w:val="a8"/>
        <w:spacing w:after="0" w:line="360" w:lineRule="auto"/>
        <w:rPr>
          <w:i/>
          <w:sz w:val="26"/>
          <w:szCs w:val="26"/>
        </w:rPr>
      </w:pPr>
      <w:r w:rsidRPr="00EB3ABE">
        <w:rPr>
          <w:i/>
          <w:sz w:val="26"/>
          <w:szCs w:val="26"/>
        </w:rPr>
        <w:t>Για την υποβοήθησή τους στην ομαλή εκπλήρωση των εφεξής υποχρεώσεών τους, οι ασφαλισμένοι με κεφαλαιοποιημένη οφειλή μπορούν, εξαιρετικά μέχρι 31-12-2017, να επιλέξουν ελεύθερα ασφαλιστική κατηγορία στον ΟΑΕΕ.</w:t>
      </w:r>
    </w:p>
    <w:p w:rsidR="004F4C75" w:rsidRPr="00EB3ABE" w:rsidRDefault="004F4C75" w:rsidP="004F4C75">
      <w:pPr>
        <w:pStyle w:val="a8"/>
        <w:spacing w:after="0" w:line="360" w:lineRule="auto"/>
        <w:rPr>
          <w:i/>
          <w:sz w:val="26"/>
          <w:szCs w:val="26"/>
        </w:rPr>
      </w:pPr>
      <w:r w:rsidRPr="00EB3ABE">
        <w:rPr>
          <w:i/>
          <w:sz w:val="26"/>
          <w:szCs w:val="26"/>
        </w:rPr>
        <w:t>Κατά την συνταξιοδότηση, η κεφαλαιοποιημένη οφειλή μετατρέπεται σε ασφαλιστικό χρόνο με τελική επιλογή εξαγοράς εκ μέρους του ασφαλισμένου ή παροχής μειωμένης σύνταξης προς αυτόν.  Εάν ο ασφαλισμένος επιθυμεί να εξοφλήσει νωρίτερα από τον χρόνο συνταξιοδότησης την κεφαλαιοποιημένη οφειλή του, το σχετικό δικαίωμα του παρέχεται οποτεδήποτε.</w:t>
      </w:r>
    </w:p>
    <w:p w:rsidR="004F4C75" w:rsidRPr="00EB3ABE" w:rsidRDefault="004F4C75" w:rsidP="004F4C75">
      <w:pPr>
        <w:pStyle w:val="a8"/>
        <w:spacing w:after="0" w:line="360" w:lineRule="auto"/>
        <w:rPr>
          <w:i/>
          <w:sz w:val="26"/>
          <w:szCs w:val="26"/>
        </w:rPr>
      </w:pPr>
      <w:r w:rsidRPr="00EB3ABE">
        <w:rPr>
          <w:i/>
          <w:sz w:val="26"/>
          <w:szCs w:val="26"/>
        </w:rPr>
        <w:t xml:space="preserve">Ειδικά για τους οφειλέτες του ΟΑΕΕ με οφειλές κάτω των είκοσι χιλιάδων (20.000) ευρώ, αυτοί μπορούν να ενταχθούν άμεσα και χωρίς προϋποθέσεις στην «Ρύθμιση νέας αρχής των οφειλόμενων εισφορών στους φορείς κοινωνικής </w:t>
      </w:r>
      <w:r w:rsidRPr="00EB3ABE">
        <w:rPr>
          <w:i/>
          <w:sz w:val="26"/>
          <w:szCs w:val="26"/>
        </w:rPr>
        <w:lastRenderedPageBreak/>
        <w:t>ασφάλισης»  του ν. 4152/2013 (ΦΕΚ 107</w:t>
      </w:r>
      <w:r w:rsidRPr="00EB3ABE">
        <w:rPr>
          <w:i/>
          <w:sz w:val="26"/>
          <w:szCs w:val="26"/>
          <w:vertAlign w:val="superscript"/>
        </w:rPr>
        <w:t>Α</w:t>
      </w:r>
      <w:r w:rsidRPr="00EB3ABE">
        <w:rPr>
          <w:i/>
          <w:sz w:val="26"/>
          <w:szCs w:val="26"/>
        </w:rPr>
        <w:t>) ή σε οποιαδήποτε άλλη ισχύουσα ρύθμιση.  Για την εφαρμογή του παρόντος εδαφίου, η προθεσμία καταβολής της τελευταίας δόσης της 30ής Ιουνίου 2017 της «Ρύθμιση νέας αρχής των οφειλόμενων εισφορών στους φορείς κοινωνικής ασφάλισης», που ορίζεται από το ν. 4152/2013, παρατείνεται μέχρι την εξόφληση των προβλεπόμενων  σαράντα οκτώ (48) δόσεων του κάθε υπαγόμενου στην σχετική ρύθμιση, υπολογιζόμενη από την ημέρα υπαγωγής του και μετά.</w:t>
      </w:r>
    </w:p>
    <w:p w:rsidR="004F4C75" w:rsidRPr="00EB3ABE" w:rsidRDefault="004F4C75" w:rsidP="004F4C75">
      <w:pPr>
        <w:pStyle w:val="a8"/>
        <w:spacing w:after="0" w:line="360" w:lineRule="auto"/>
        <w:rPr>
          <w:i/>
          <w:sz w:val="26"/>
          <w:szCs w:val="26"/>
        </w:rPr>
      </w:pPr>
      <w:r w:rsidRPr="00EB3ABE">
        <w:rPr>
          <w:i/>
          <w:sz w:val="26"/>
          <w:szCs w:val="26"/>
        </w:rPr>
        <w:t>Από της έναρξης ισχύος του νόμου αυτού, οι οφειλές των ασφαλισμένων προς τον ΟΑΕΕ παύουν να συνιστούν ποινικό αδίκημα.  Με Απόφαση του Υπουργού Εργασίας, Κοινωνικής Ασφάλισης και Πρόνοιας, καθορίζεται κάθε αναγκαία λεπτομέρεια και διαδικασία για την εφαρμογή της παρούσας διάταξης.</w:t>
      </w:r>
      <w:r>
        <w:rPr>
          <w:i/>
          <w:sz w:val="26"/>
          <w:szCs w:val="26"/>
        </w:rPr>
        <w:t>»</w:t>
      </w:r>
    </w:p>
    <w:p w:rsidR="004F4C75" w:rsidRPr="004F4C75" w:rsidRDefault="004F4C75" w:rsidP="004F4C75">
      <w:pPr>
        <w:rPr>
          <w:szCs w:val="26"/>
          <w:u w:val="single"/>
        </w:rPr>
      </w:pPr>
      <w:r>
        <w:rPr>
          <w:szCs w:val="26"/>
        </w:rPr>
        <w:t>Παράλληλα με τα παραπάνω</w:t>
      </w:r>
      <w:r w:rsidRPr="00FF6318">
        <w:rPr>
          <w:rFonts w:eastAsia="Times New Roman" w:cs="Times New Roman"/>
          <w:szCs w:val="26"/>
        </w:rPr>
        <w:t xml:space="preserve">, η ΕΣΕΕ και ο εμπορικός κόσμος της χώρας εδώ και χρόνια  έχουν θέσει στην προμετωπίδα των αιτημάτων τους </w:t>
      </w:r>
      <w:r w:rsidRPr="00D3503C">
        <w:rPr>
          <w:rFonts w:eastAsia="Times New Roman" w:cs="Times New Roman"/>
          <w:b/>
          <w:szCs w:val="26"/>
        </w:rPr>
        <w:t>την αποποινικοποίηση των οφειλών για ίδιες εισφορές των ασφαλισμένων προς τον ΟΑΕΕ</w:t>
      </w:r>
      <w:r w:rsidRPr="00FF6318">
        <w:rPr>
          <w:rFonts w:eastAsia="Times New Roman" w:cs="Times New Roman"/>
          <w:szCs w:val="26"/>
        </w:rPr>
        <w:t>.  Θεωρούμε ότι είναι πλέον καιρός, ως ένδειξη καλής θέλησης προς την κοινωνία, να καταργηθεί επιτέλους αυτό το επαχθές μέτρο, να πηγαίνει ένας έμπορος στην φυλακή επειδή έχει προς το ταμείο οφειλές, που –ούτως ή άλλως- αφήνουν τον ίδιο και την οικογένειά του, χωρίς ασφάλιση, χωρίς σύνταξη και χωρίς ιατροφαρμακευτική περίθαλψη.</w:t>
      </w:r>
      <w:r w:rsidRPr="00FF6318">
        <w:rPr>
          <w:rFonts w:eastAsia="Times New Roman" w:cs="Times New Roman"/>
          <w:szCs w:val="26"/>
        </w:rPr>
        <w:br/>
        <w:t>Υπενθυμίζουμε ότι το αναχρονιστικό και άδικο νομικό πλαίσιο που αφορά στην ποινική καταδίωξη των οφειλετών μόνο του Ταμείου μας εφαρμόστηκε με το άρθρο 1 του Αναγκαστικού Νόμου 86/1967 και υιοθετήθηκε από τα Καταστατικά του ΟΑΕΕ με την παράγραφο 1 άρθρου 16 του Προεδρικού Διατάγματος 258/2005.</w:t>
      </w:r>
      <w:r w:rsidRPr="00FF6318">
        <w:rPr>
          <w:rFonts w:eastAsia="Times New Roman" w:cs="Times New Roman"/>
          <w:szCs w:val="26"/>
        </w:rPr>
        <w:br/>
        <w:t>Συμπερασματικά, αν αναλογιστεί κανείς ότι η κρίση ξεκίνησε το 2009, είναι πολλοί πλέον οι έμποροι που έχουν ασφαλιστικές οφειλές και –εκτός από τα όρια της φτώχειας που ήδη έχουν χτυπήσει την πόρτα τους- επικρεμάται επιπλέον επάνω από το κεφάλι τους και η «δαμόκλειος σπάθη» της ποινικής δίωξης και της φυλάκισης.</w:t>
      </w:r>
      <w:r w:rsidRPr="00FF6318">
        <w:rPr>
          <w:rFonts w:eastAsia="Times New Roman" w:cs="Times New Roman"/>
          <w:szCs w:val="26"/>
        </w:rPr>
        <w:br/>
        <w:t xml:space="preserve">Κατά συνέπεια, η ΕΣΕΕ, ζητά για άλλη μία φορά </w:t>
      </w:r>
      <w:r w:rsidRPr="00D3503C">
        <w:rPr>
          <w:rFonts w:eastAsia="Times New Roman" w:cs="Times New Roman"/>
          <w:b/>
          <w:szCs w:val="26"/>
        </w:rPr>
        <w:t xml:space="preserve">την πλήρη άρση της </w:t>
      </w:r>
      <w:r w:rsidRPr="00D3503C">
        <w:rPr>
          <w:rFonts w:eastAsia="Times New Roman" w:cs="Times New Roman"/>
          <w:b/>
          <w:szCs w:val="26"/>
        </w:rPr>
        <w:lastRenderedPageBreak/>
        <w:t>ποινικοποίησης των οφειλών ασφαλιστικών εισφορών προς τον ΟΑΕΕ και την διατήρηση μόνο των αστικών μέτρων</w:t>
      </w:r>
      <w:r w:rsidRPr="00FF6318">
        <w:rPr>
          <w:rFonts w:eastAsia="Times New Roman" w:cs="Times New Roman"/>
          <w:szCs w:val="26"/>
        </w:rPr>
        <w:t xml:space="preserve"> (τα οποία μετά τις τελευταίες τροποποιήσεις είναι υπεραρκετά), όπως ακριβώς συμβαίνει και με τις οφειλές των λοιπών ελευθέρων επαγγελματιών και αυτοαπασχολουμένων (δικηγόρων, γιατρών, μηχανικών κλπ.) προς τα δικά τους ταμεία.</w:t>
      </w:r>
      <w:r w:rsidRPr="00FF6318">
        <w:rPr>
          <w:rFonts w:eastAsia="Times New Roman" w:cs="Times New Roman"/>
          <w:szCs w:val="26"/>
        </w:rPr>
        <w:br/>
      </w:r>
      <w:r w:rsidRPr="00FF6318">
        <w:rPr>
          <w:rFonts w:eastAsia="Times New Roman" w:cs="Times New Roman"/>
          <w:szCs w:val="26"/>
        </w:rPr>
        <w:br/>
      </w:r>
      <w:r w:rsidRPr="00AD72B9">
        <w:rPr>
          <w:rFonts w:eastAsia="Times New Roman" w:cs="Times New Roman"/>
          <w:b/>
          <w:szCs w:val="26"/>
          <w:u w:val="single"/>
        </w:rPr>
        <w:t>X. ΔΗΜΙΟΥΡΓΙΑ ΚΩΔΙΚΑ ΔΕΟΝΤΟΛΟΓΙΑΣ &amp; ΛΕΙΤΟΥΡΓΙΑΣ ΤΗΣ ΑΓΟΡΑΣ</w:t>
      </w:r>
      <w:r w:rsidRPr="00AD72B9">
        <w:rPr>
          <w:b/>
          <w:szCs w:val="26"/>
        </w:rPr>
        <w:br/>
      </w:r>
      <w:r w:rsidRPr="004F4C75">
        <w:rPr>
          <w:szCs w:val="26"/>
          <w:u w:val="single"/>
        </w:rPr>
        <w:t>Εκπτώσεις- Προσφορές και άλλες Εμπορικές Πρακτικές</w:t>
      </w:r>
    </w:p>
    <w:p w:rsidR="004F4C75" w:rsidRDefault="004F4C75" w:rsidP="004F4C75">
      <w:pPr>
        <w:rPr>
          <w:szCs w:val="26"/>
        </w:rPr>
      </w:pPr>
      <w:r>
        <w:rPr>
          <w:szCs w:val="26"/>
        </w:rPr>
        <w:t>Παρά τις βελτιώσεις, ο ν</w:t>
      </w:r>
      <w:r w:rsidRPr="00FF6318">
        <w:rPr>
          <w:rFonts w:eastAsia="Times New Roman" w:cs="Times New Roman"/>
          <w:szCs w:val="26"/>
        </w:rPr>
        <w:t xml:space="preserve">όμος περί εκπτώσεων πρέπει </w:t>
      </w:r>
      <w:r>
        <w:rPr>
          <w:szCs w:val="26"/>
        </w:rPr>
        <w:t xml:space="preserve">να αναμορφωθεί με γνώμονα ένα </w:t>
      </w:r>
      <w:r w:rsidRPr="00334EDE">
        <w:rPr>
          <w:b/>
          <w:szCs w:val="26"/>
        </w:rPr>
        <w:t>"Κώδικα Δ</w:t>
      </w:r>
      <w:r w:rsidRPr="00334EDE">
        <w:rPr>
          <w:rFonts w:eastAsia="Times New Roman" w:cs="Times New Roman"/>
          <w:b/>
          <w:szCs w:val="26"/>
        </w:rPr>
        <w:t>εοντολογίας" για τη</w:t>
      </w:r>
      <w:r w:rsidR="00744D8E">
        <w:rPr>
          <w:rFonts w:eastAsia="Times New Roman" w:cs="Times New Roman"/>
          <w:b/>
          <w:szCs w:val="26"/>
        </w:rPr>
        <w:t>ν</w:t>
      </w:r>
      <w:r w:rsidRPr="00334EDE">
        <w:rPr>
          <w:rFonts w:eastAsia="Times New Roman" w:cs="Times New Roman"/>
          <w:b/>
          <w:szCs w:val="26"/>
        </w:rPr>
        <w:t xml:space="preserve"> προστασία του καταναλωτή</w:t>
      </w:r>
      <w:r w:rsidRPr="00FF6318">
        <w:rPr>
          <w:rFonts w:eastAsia="Times New Roman" w:cs="Times New Roman"/>
          <w:szCs w:val="26"/>
        </w:rPr>
        <w:t xml:space="preserve"> και τον εκσυγχρονισμό των </w:t>
      </w:r>
      <w:r>
        <w:rPr>
          <w:szCs w:val="26"/>
        </w:rPr>
        <w:t>διαφόρων μεθόδων που ακολουθούν οι επιχειρήσεις</w:t>
      </w:r>
      <w:r w:rsidRPr="00FF6318">
        <w:rPr>
          <w:rFonts w:eastAsia="Times New Roman" w:cs="Times New Roman"/>
          <w:szCs w:val="26"/>
        </w:rPr>
        <w:t xml:space="preserve"> σε νέες, απλές πρακτικές πώλησης, λαμβάνοντας πρωτίστως υπόψη τη χαμηλή κατανάλωση που οδηγεί στο κλείσιμο των ελληνικών εμπορικών επιχειρήσεων. Τα "εργαλεία" της εμπορικής επικοι</w:t>
      </w:r>
      <w:r>
        <w:rPr>
          <w:szCs w:val="26"/>
        </w:rPr>
        <w:t xml:space="preserve">νωνίας για αύξηση των πωλήσεων, </w:t>
      </w:r>
      <w:r w:rsidRPr="00334EDE">
        <w:rPr>
          <w:rFonts w:eastAsia="Times New Roman" w:cs="Times New Roman"/>
          <w:b/>
          <w:szCs w:val="26"/>
        </w:rPr>
        <w:t xml:space="preserve">εκπτώσεις, προσφορές, προωθητικές </w:t>
      </w:r>
      <w:r w:rsidRPr="00334EDE">
        <w:rPr>
          <w:b/>
          <w:szCs w:val="26"/>
        </w:rPr>
        <w:t>ενέργειες και stock</w:t>
      </w:r>
      <w:r>
        <w:rPr>
          <w:szCs w:val="26"/>
        </w:rPr>
        <w:t>,</w:t>
      </w:r>
      <w:r w:rsidRPr="00FF6318">
        <w:rPr>
          <w:rFonts w:eastAsia="Times New Roman" w:cs="Times New Roman"/>
          <w:szCs w:val="26"/>
        </w:rPr>
        <w:t xml:space="preserve"> δεν ορίζονται σαφώς και με απλό τρόπο με αποτέλεσμα να μην διακρίνονται με σαφήνεια οι διαφορές μεταξύ τους.</w:t>
      </w:r>
      <w:r w:rsidRPr="00FF6318">
        <w:rPr>
          <w:rFonts w:eastAsia="Times New Roman" w:cs="Times New Roman"/>
          <w:szCs w:val="26"/>
        </w:rPr>
        <w:br/>
        <w:t>Η ΕΣΕΕ ταξινομώντας τις έννοιες αυτές, βάσει της διάρκειας, του σκοπού και του εύρους εφαρμογής τους, μπορεί να διευκρινίσει ό</w:t>
      </w:r>
      <w:r>
        <w:rPr>
          <w:szCs w:val="26"/>
        </w:rPr>
        <w:t>τι:</w:t>
      </w:r>
    </w:p>
    <w:p w:rsidR="004F4C75" w:rsidRDefault="004F4C75" w:rsidP="004F4C75">
      <w:pPr>
        <w:pStyle w:val="a3"/>
        <w:numPr>
          <w:ilvl w:val="0"/>
          <w:numId w:val="14"/>
        </w:numPr>
        <w:rPr>
          <w:szCs w:val="26"/>
        </w:rPr>
      </w:pPr>
      <w:r w:rsidRPr="00B3725E">
        <w:rPr>
          <w:szCs w:val="26"/>
        </w:rPr>
        <w:t>Οι Εκπτώσεις έχουν σκοπό τη ρευστοποίηση του συνόλου των εμπορευμάτων σε σταθερέ</w:t>
      </w:r>
      <w:r>
        <w:rPr>
          <w:szCs w:val="26"/>
        </w:rPr>
        <w:t>ς χρονικές περιόδους ετησίως.</w:t>
      </w:r>
    </w:p>
    <w:p w:rsidR="004F4C75" w:rsidRDefault="004F4C75" w:rsidP="004F4C75">
      <w:pPr>
        <w:pStyle w:val="a3"/>
        <w:numPr>
          <w:ilvl w:val="0"/>
          <w:numId w:val="14"/>
        </w:numPr>
        <w:rPr>
          <w:szCs w:val="26"/>
        </w:rPr>
      </w:pPr>
      <w:r w:rsidRPr="00B3725E">
        <w:rPr>
          <w:szCs w:val="26"/>
        </w:rPr>
        <w:t>Οι Προσφορές διενεργούνται σε έκτακτες περιόδους και αφορούν σε περιορισμένο εύρος εμπορευμάτων που διαθέτει η ε</w:t>
      </w:r>
      <w:r>
        <w:rPr>
          <w:szCs w:val="26"/>
        </w:rPr>
        <w:t>πιχείρηση μέχρι τη λήξη τους.</w:t>
      </w:r>
    </w:p>
    <w:p w:rsidR="004F4C75" w:rsidRDefault="004F4C75" w:rsidP="004F4C75">
      <w:pPr>
        <w:pStyle w:val="a3"/>
        <w:numPr>
          <w:ilvl w:val="0"/>
          <w:numId w:val="14"/>
        </w:numPr>
        <w:rPr>
          <w:szCs w:val="26"/>
        </w:rPr>
      </w:pPr>
      <w:r w:rsidRPr="00B3725E">
        <w:rPr>
          <w:szCs w:val="26"/>
        </w:rPr>
        <w:t>Οι Προωθητικές ενέργειες έχουν σκοπό την έκτακτη διαφήμιση, σε περιορισμένα είδη.</w:t>
      </w:r>
    </w:p>
    <w:p w:rsidR="004F4C75" w:rsidRDefault="004F4C75" w:rsidP="004F4C75">
      <w:pPr>
        <w:pStyle w:val="a3"/>
        <w:numPr>
          <w:ilvl w:val="0"/>
          <w:numId w:val="14"/>
        </w:numPr>
        <w:rPr>
          <w:szCs w:val="26"/>
        </w:rPr>
      </w:pPr>
      <w:r w:rsidRPr="00B3725E">
        <w:rPr>
          <w:szCs w:val="26"/>
        </w:rPr>
        <w:t>Τα "Stock" έχουν σκοπό τη ρευ</w:t>
      </w:r>
      <w:r>
        <w:rPr>
          <w:szCs w:val="26"/>
        </w:rPr>
        <w:t>στοποίηση αδιάθετων αποθεμάτων.</w:t>
      </w:r>
    </w:p>
    <w:p w:rsidR="004F4C75" w:rsidRPr="004F4C75" w:rsidRDefault="004F4C75" w:rsidP="004F4C75">
      <w:pPr>
        <w:rPr>
          <w:szCs w:val="26"/>
        </w:rPr>
      </w:pPr>
      <w:r w:rsidRPr="00334EDE">
        <w:rPr>
          <w:szCs w:val="26"/>
        </w:rPr>
        <w:t xml:space="preserve">Με δεδομένο ότι κάθε επιχείρηση μπορεί να μειώνει και να αυξάνει τις τιμές ανάλογα με το κόστος των εμπορευμάτων, </w:t>
      </w:r>
      <w:r w:rsidRPr="00334EDE">
        <w:rPr>
          <w:b/>
          <w:szCs w:val="26"/>
        </w:rPr>
        <w:t xml:space="preserve">δεν συνεπάγεται ότι θα πρέπει να το </w:t>
      </w:r>
      <w:r w:rsidRPr="00334EDE">
        <w:rPr>
          <w:b/>
          <w:szCs w:val="26"/>
        </w:rPr>
        <w:lastRenderedPageBreak/>
        <w:t>πράττει οπο</w:t>
      </w:r>
      <w:r w:rsidR="00744D8E">
        <w:rPr>
          <w:b/>
          <w:szCs w:val="26"/>
        </w:rPr>
        <w:t>τεδήποτε το επιθυμεί με τη λανθασμένη</w:t>
      </w:r>
      <w:r w:rsidRPr="00334EDE">
        <w:rPr>
          <w:b/>
          <w:szCs w:val="26"/>
        </w:rPr>
        <w:t xml:space="preserve"> χρήση </w:t>
      </w:r>
      <w:r w:rsidRPr="00334EDE">
        <w:rPr>
          <w:szCs w:val="26"/>
        </w:rPr>
        <w:t xml:space="preserve">των εκπτώσεων, προσφορών, προωθητικών ενεργειών και stock. Αυτός είναι και ο λόγος που οι μικρομεσαίοι έμποροι δεν επιθυμούν το μοντέλο των υψηλών τιμών και των ακόμα υψηλότερων ποσοστών εκπτώσεων, αλλά της </w:t>
      </w:r>
      <w:r w:rsidRPr="00334EDE">
        <w:rPr>
          <w:b/>
          <w:szCs w:val="26"/>
        </w:rPr>
        <w:t>"μίας τιμής, χαμηλής τιμής, όλο τον χρόνο" με εξαίρεση τις εκπτώσεις, λόγω τέλους εποχής</w:t>
      </w:r>
      <w:r w:rsidRPr="00334EDE">
        <w:rPr>
          <w:szCs w:val="26"/>
        </w:rPr>
        <w:t>. Ωστόσο η ημερομηνία εκκίνησης των τακτικών εκπτώσεων, δεν εξυπηρετεί όλους τους κλάδους όπως σχολικά είδη, έπιπλα, ηλεκτρικά, ηλεκτρονικά κλπ.  Επίσης πολλοί εμπορικοί σύλλογοι επιθυμούν να αλλάξει ο χρονικός προσδιορισμός των ενδιάμεσων εκπτώσεων (mid season sales) και κυρίως να μην επιτρέπονται οι προσφορές</w:t>
      </w:r>
      <w:r>
        <w:rPr>
          <w:szCs w:val="26"/>
        </w:rPr>
        <w:t xml:space="preserve"> και οι προωθητικές ενέργειες</w:t>
      </w:r>
      <w:r w:rsidRPr="00334EDE">
        <w:rPr>
          <w:szCs w:val="26"/>
        </w:rPr>
        <w:t xml:space="preserve"> 30 ημέρες πριν την επίσημ</w:t>
      </w:r>
      <w:r>
        <w:rPr>
          <w:szCs w:val="26"/>
        </w:rPr>
        <w:t xml:space="preserve">η έναρξη των τακτικών εκπτώσεων, καθώς έχει διαπιστωθεί ότι </w:t>
      </w:r>
      <w:r>
        <w:rPr>
          <w:b/>
          <w:szCs w:val="26"/>
        </w:rPr>
        <w:t>προσπαθούν να μιμηθούν τις τακτικές εκπτώσεις,</w:t>
      </w:r>
      <w:r>
        <w:rPr>
          <w:szCs w:val="26"/>
        </w:rPr>
        <w:t xml:space="preserve"> προκαλώντας σύγχυση στον καταναλωτή.</w:t>
      </w:r>
      <w:r w:rsidRPr="00334EDE">
        <w:rPr>
          <w:szCs w:val="26"/>
        </w:rPr>
        <w:br/>
      </w:r>
      <w:r>
        <w:rPr>
          <w:szCs w:val="26"/>
          <w:u w:val="single"/>
        </w:rPr>
        <w:t>Λειτουργία των Καταστημάτων τις Κυριακές</w:t>
      </w:r>
      <w:r w:rsidRPr="00FF6318">
        <w:rPr>
          <w:rFonts w:eastAsia="Times New Roman" w:cs="Times New Roman"/>
          <w:szCs w:val="26"/>
        </w:rPr>
        <w:br/>
      </w:r>
      <w:r w:rsidRPr="00FF6318">
        <w:rPr>
          <w:rFonts w:cs="Times New Roman"/>
          <w:szCs w:val="26"/>
        </w:rPr>
        <w:t xml:space="preserve">Η ΕΣΕΕ </w:t>
      </w:r>
      <w:r>
        <w:rPr>
          <w:szCs w:val="26"/>
        </w:rPr>
        <w:t>ήδη από το τέλος του 2012,</w:t>
      </w:r>
      <w:r w:rsidRPr="00FF6318">
        <w:rPr>
          <w:rFonts w:cs="Times New Roman"/>
          <w:szCs w:val="26"/>
        </w:rPr>
        <w:t xml:space="preserve"> που εκδηλώθηκε για πρώτη φορά η ανεξήγητη εμμονή του Υπουργείου Ανάπτυξης να απελευθερώσει τις Κυριακές, εξέφρασε την κάθετη αντίθεση και την ευαισθησία του εμπορικού κόσμου της χώρας προς το Υπουργείο σχετικά με το θέμα αυτό.  Την ίδια χρονική περίοδο, είχε συμφωνηθεί ότι, πριν από την οποιαδήποτε σχετική ρύθμιση ή πρόταση ρύθμισης, θα πραγματοποιηθεί πρώτα εξαντλητικός διάλογος μεταξύ όλων των ενδιαφερόμενων μερών. Αν</w:t>
      </w:r>
      <w:r>
        <w:rPr>
          <w:szCs w:val="26"/>
        </w:rPr>
        <w:t xml:space="preserve">τ’ αυτού, ήδη από τον </w:t>
      </w:r>
      <w:r w:rsidRPr="00FF6318">
        <w:rPr>
          <w:rFonts w:cs="Times New Roman"/>
          <w:szCs w:val="26"/>
        </w:rPr>
        <w:t>Δεκέμβριο</w:t>
      </w:r>
      <w:r>
        <w:rPr>
          <w:szCs w:val="26"/>
        </w:rPr>
        <w:t xml:space="preserve"> του 2012</w:t>
      </w:r>
      <w:r w:rsidRPr="00FF6318">
        <w:rPr>
          <w:rFonts w:cs="Times New Roman"/>
          <w:szCs w:val="26"/>
        </w:rPr>
        <w:t xml:space="preserve"> και μέσω του τότε σχεδίου νόμου «Αγορανομικός Κώδικας», βρεθήκαμε αντιμέτωποι με την πλήρη απελευθέρωση της λειτουργίας των καταστημάτων όλες τις Κυριακές του χρόνου.</w:t>
      </w:r>
    </w:p>
    <w:p w:rsidR="004F4C75" w:rsidRPr="00FF6318" w:rsidRDefault="004F4C75" w:rsidP="004F4C75">
      <w:pPr>
        <w:rPr>
          <w:rFonts w:cs="Times New Roman"/>
          <w:szCs w:val="26"/>
        </w:rPr>
      </w:pPr>
      <w:r w:rsidRPr="00FF6318">
        <w:rPr>
          <w:rFonts w:cs="Times New Roman"/>
          <w:szCs w:val="26"/>
        </w:rPr>
        <w:t xml:space="preserve">Η ΕΣΕΕ και ο εμπορικός κόσμος της χώρας </w:t>
      </w:r>
      <w:r w:rsidRPr="00334EDE">
        <w:rPr>
          <w:rFonts w:cs="Times New Roman"/>
          <w:b/>
          <w:szCs w:val="26"/>
        </w:rPr>
        <w:t>απορρίψαμε την απελευθέρωση</w:t>
      </w:r>
      <w:r w:rsidRPr="00FF6318">
        <w:rPr>
          <w:rFonts w:cs="Times New Roman"/>
          <w:szCs w:val="26"/>
        </w:rPr>
        <w:t xml:space="preserve"> και προτείναμε ως καλύτερη λύση, την ολοκληρωτική απόσυρση του άρθρου για τις Κυριακές και την έναρξη διαλόγου ανάμεσα στο Υπουργείο Ανάπτυξης και στους παραγωγικούς φορείς και στηρίξαμε με έρευνες και στοιχεία τις θέσεις μας για την πλήρη ανακολουθία της κυριακάτικης λειτουργίας με την ανταγωνιστικότητα ή την απασχόληση.</w:t>
      </w:r>
    </w:p>
    <w:p w:rsidR="004F4C75" w:rsidRPr="00FF6318" w:rsidRDefault="004F4C75" w:rsidP="004F4C75">
      <w:pPr>
        <w:rPr>
          <w:rFonts w:cs="Times New Roman"/>
          <w:szCs w:val="26"/>
        </w:rPr>
      </w:pPr>
      <w:r w:rsidRPr="00FF6318">
        <w:rPr>
          <w:rFonts w:cs="Times New Roman"/>
          <w:szCs w:val="26"/>
        </w:rPr>
        <w:lastRenderedPageBreak/>
        <w:t>Τελικά, με το άρθρο 16 ν. 4177/2013 ορίστηκε ότι γενικό άνοιγμα θα ισχύει μόνο για συγκεκριμένες και περιορισμένες εκ του νόμου Κυριακές το χρόνο και συγκεκριμένα τ</w:t>
      </w:r>
      <w:r w:rsidRPr="00FF6318">
        <w:rPr>
          <w:rFonts w:eastAsia="MgHelveticaUCPol" w:cs="Times New Roman"/>
          <w:szCs w:val="26"/>
        </w:rPr>
        <w:t>ην πρώτη Κυριακή κατά την έναρξη των εκπτώσεων, δύο Κυριακές πριν από την ημέρα των Χριστουγέννων και την Κυριακή των Βαΐων.</w:t>
      </w:r>
      <w:r w:rsidRPr="00FF6318">
        <w:rPr>
          <w:rFonts w:cs="Times New Roman"/>
          <w:szCs w:val="26"/>
        </w:rPr>
        <w:t xml:space="preserve">  Κατά τα λοιπά, η λειτουργία των καταστημάτων τις Κυριακές εξακολουθεί να είναι ζήτημα των τοπικών κοινωνιών και το άνοιγμα των μικρών επιχειρήσεων (κάτω των 250 τμ) αποφασίζει ο αρμόδιος Αντιπεριφερειάρχης (τέως Νομάρχης), κατά τις απαιτήσεις και τις επικρατούσες συνθήκες των τοπικών αγορών.  </w:t>
      </w:r>
    </w:p>
    <w:p w:rsidR="004F4C75" w:rsidRPr="00FF6318" w:rsidRDefault="004F4C75" w:rsidP="004F4C75">
      <w:pPr>
        <w:rPr>
          <w:rFonts w:cs="Times New Roman"/>
          <w:szCs w:val="26"/>
        </w:rPr>
      </w:pPr>
      <w:r w:rsidRPr="00FF6318">
        <w:rPr>
          <w:rFonts w:cs="Times New Roman"/>
          <w:szCs w:val="26"/>
        </w:rPr>
        <w:t xml:space="preserve">Ακολούθως, οι κατά τόπους Αντιπεριφερειάρχες εξέδωσαν τις σχετικές αποφάσεις λαμβάνοντας ειδική πρόνοια για τις τουριστικές περιοχές των νομών τους και </w:t>
      </w:r>
      <w:r w:rsidRPr="00334EDE">
        <w:rPr>
          <w:rFonts w:cs="Times New Roman"/>
          <w:b/>
          <w:szCs w:val="26"/>
        </w:rPr>
        <w:t>έτσι η αγορά ισορρόπησε, βάσει των προτάσεών μας</w:t>
      </w:r>
      <w:r w:rsidRPr="00FF6318">
        <w:rPr>
          <w:rFonts w:cs="Times New Roman"/>
          <w:szCs w:val="26"/>
        </w:rPr>
        <w:t>.</w:t>
      </w:r>
    </w:p>
    <w:p w:rsidR="004F4C75" w:rsidRDefault="004F4C75" w:rsidP="004F4C75">
      <w:pPr>
        <w:rPr>
          <w:szCs w:val="26"/>
        </w:rPr>
      </w:pPr>
      <w:r w:rsidRPr="00FF6318">
        <w:rPr>
          <w:rFonts w:cs="Times New Roman"/>
          <w:szCs w:val="26"/>
        </w:rPr>
        <w:t>Ωστόσο, με την υποπαράγραφο ΣΤ5 παράγραφος 2</w:t>
      </w:r>
      <w:r w:rsidRPr="00FF6318">
        <w:rPr>
          <w:rFonts w:cs="Times New Roman"/>
          <w:szCs w:val="26"/>
          <w:vertAlign w:val="superscript"/>
        </w:rPr>
        <w:t>α</w:t>
      </w:r>
      <w:r w:rsidRPr="00FF6318">
        <w:rPr>
          <w:rFonts w:cs="Times New Roman"/>
          <w:szCs w:val="26"/>
        </w:rPr>
        <w:t xml:space="preserve"> του άρθρου πρώτου ν. 4254/2014, η προηγούμενη ηγεσία του Υπουργείου επανέφερε το θέμα, ενώ αυτό είχε λήξει και ορίστηκε ότι με Υπουργική Απόφαση θα καθοριστούν 3 τουριστικές περιοχές στις οποίες θα ισχύσει πλήρης απελευθέρωση, άσχετα από τις αποφάσεις των Αντιπεριφερειαρχών</w:t>
      </w:r>
      <w:r>
        <w:rPr>
          <w:szCs w:val="26"/>
        </w:rPr>
        <w:t xml:space="preserve">.  Η ΕΣΕΕ </w:t>
      </w:r>
      <w:r w:rsidRPr="00334EDE">
        <w:rPr>
          <w:b/>
          <w:szCs w:val="26"/>
        </w:rPr>
        <w:t>αντιμετώπισε</w:t>
      </w:r>
      <w:r w:rsidRPr="00334EDE">
        <w:rPr>
          <w:rFonts w:cs="Times New Roman"/>
          <w:b/>
          <w:szCs w:val="26"/>
        </w:rPr>
        <w:t xml:space="preserve"> αρνητικά την έκδοση της συγκεκριμένης </w:t>
      </w:r>
      <w:r w:rsidRPr="00334EDE">
        <w:rPr>
          <w:b/>
          <w:szCs w:val="26"/>
        </w:rPr>
        <w:t>Υπουργικής Απόφασης</w:t>
      </w:r>
      <w:r>
        <w:rPr>
          <w:szCs w:val="26"/>
        </w:rPr>
        <w:t>, επειδή «ξανανοίγει»</w:t>
      </w:r>
      <w:r w:rsidR="00744D8E">
        <w:rPr>
          <w:rFonts w:cs="Times New Roman"/>
          <w:szCs w:val="26"/>
        </w:rPr>
        <w:t xml:space="preserve"> το θέμα</w:t>
      </w:r>
      <w:r w:rsidRPr="00FF6318">
        <w:rPr>
          <w:rFonts w:cs="Times New Roman"/>
          <w:szCs w:val="26"/>
        </w:rPr>
        <w:t xml:space="preserve"> εκ του μη όντως, την στιγμή που η αγορά έχει βρει τις ισορροπίες της με τις παρεχόμενες εκ του νόμου Κυριακές που τα καταστήματα λειτουργούν ελεύθερα και τις αποφάσεις των Αντιπεριφερειαρχών.  </w:t>
      </w:r>
    </w:p>
    <w:p w:rsidR="004F4C75" w:rsidRPr="00BE5B93" w:rsidRDefault="004F4C75" w:rsidP="004F4C75">
      <w:pPr>
        <w:rPr>
          <w:szCs w:val="26"/>
        </w:rPr>
      </w:pPr>
      <w:r w:rsidRPr="00BE5B93">
        <w:rPr>
          <w:szCs w:val="26"/>
        </w:rPr>
        <w:t xml:space="preserve">Τελικά, ο Υφυπουργός Ανάπτυξης, εμμένοντας στον λανθασμένο χειρισμό αυτού του κρίσιμου θέματος, εξέδωσε την υπ’ αριθμ. ΥΑ Κ1-1119/9-7-2014, η οποία τελικά </w:t>
      </w:r>
      <w:r w:rsidRPr="00334EDE">
        <w:rPr>
          <w:b/>
          <w:szCs w:val="26"/>
        </w:rPr>
        <w:t>απελευθερώνει… 10 περιοχές αντί για 3</w:t>
      </w:r>
      <w:r w:rsidRPr="00BE5B93">
        <w:rPr>
          <w:szCs w:val="26"/>
        </w:rPr>
        <w:t xml:space="preserve"> που ορίζει ο νόμος και γενικότερα</w:t>
      </w:r>
      <w:r w:rsidRPr="00BE5B93">
        <w:rPr>
          <w:rFonts w:eastAsia="Times New Roman"/>
          <w:szCs w:val="26"/>
        </w:rPr>
        <w:t xml:space="preserve"> παραβιάζει σωρεία διατάξεων και αρχών του Συντάγματος, ενώ είναι αντίθετη με τη Διεθνή Σύμβαση της Γενεύης αλλά και της </w:t>
      </w:r>
      <w:r w:rsidRPr="00BE5B93">
        <w:rPr>
          <w:szCs w:val="26"/>
        </w:rPr>
        <w:t>Ευρωπαϊκής</w:t>
      </w:r>
      <w:r w:rsidRPr="00BE5B93">
        <w:rPr>
          <w:rFonts w:eastAsia="Times New Roman"/>
          <w:szCs w:val="26"/>
        </w:rPr>
        <w:t xml:space="preserve"> Νομοθεσίας, που καθιερώνουν τη Κυριακή ως ημέρα αργίας. Οι </w:t>
      </w:r>
      <w:r w:rsidRPr="00334EDE">
        <w:rPr>
          <w:rFonts w:eastAsia="Times New Roman"/>
          <w:b/>
          <w:szCs w:val="26"/>
        </w:rPr>
        <w:t>5</w:t>
      </w:r>
      <w:r w:rsidRPr="00334EDE">
        <w:rPr>
          <w:b/>
          <w:szCs w:val="26"/>
        </w:rPr>
        <w:t xml:space="preserve"> κύριοι λόγοι που πάσχει η συγκεκριμένη Υπουργική Απόφαση</w:t>
      </w:r>
      <w:r w:rsidRPr="00BE5B93">
        <w:rPr>
          <w:rFonts w:eastAsia="Times New Roman"/>
          <w:szCs w:val="26"/>
        </w:rPr>
        <w:t xml:space="preserve"> είν</w:t>
      </w:r>
      <w:r w:rsidRPr="00BE5B93">
        <w:rPr>
          <w:szCs w:val="26"/>
        </w:rPr>
        <w:t>αι:</w:t>
      </w:r>
    </w:p>
    <w:p w:rsidR="004F4C75" w:rsidRPr="00BE5B93" w:rsidRDefault="004F4C75" w:rsidP="004F4C75">
      <w:pPr>
        <w:pStyle w:val="a3"/>
        <w:numPr>
          <w:ilvl w:val="0"/>
          <w:numId w:val="11"/>
        </w:numPr>
        <w:rPr>
          <w:szCs w:val="26"/>
        </w:rPr>
      </w:pPr>
      <w:r w:rsidRPr="00BE5B93">
        <w:rPr>
          <w:szCs w:val="26"/>
        </w:rPr>
        <w:t xml:space="preserve">Υπέρβαση της εξουσιοδοτικής διάταξης του νόμου: Η εξουσιοδοτική διάταξη (υποπαράγραφος ΣΤ5 παράγραφος 2α άρθρου πρώτου ν. </w:t>
      </w:r>
      <w:r w:rsidRPr="00BE5B93">
        <w:rPr>
          <w:szCs w:val="26"/>
        </w:rPr>
        <w:lastRenderedPageBreak/>
        <w:t>4254/2014) ορίζει ότι με Υπουργική Απόφαση θα καθοριστούν 3 τουριστικές περιοχές, στις οποίες θα ισχύσει πλήρης απελευθέρωση, άσχετα με τις αποφάσεις των Αντιπεριφερειαρχών. Η Υπουργική Απόφαση ορίζει 10 αντί 3 περιοχών, ενάντια στο γράμμα και στο πνεύμα της εξουσιοδοτικής διάταξης.</w:t>
      </w:r>
    </w:p>
    <w:p w:rsidR="004F4C75" w:rsidRPr="00BE5B93" w:rsidRDefault="004F4C75" w:rsidP="004F4C75">
      <w:pPr>
        <w:pStyle w:val="a3"/>
        <w:numPr>
          <w:ilvl w:val="0"/>
          <w:numId w:val="11"/>
        </w:numPr>
        <w:rPr>
          <w:szCs w:val="26"/>
        </w:rPr>
      </w:pPr>
      <w:r w:rsidRPr="00BE5B93">
        <w:rPr>
          <w:szCs w:val="26"/>
        </w:rPr>
        <w:t>Εξάντληση της προθεσμίας που θέτει ο νόμος: Η εξουσιοδοτική διάταξη δημοσιεύτηκε στις 7 Απριλίου 2014 και έδινε προθεσμία 3 μηνών για την έκδοση της Υπουργικής Απόφασης.  Η Υπουργική Απόφαση υπεγράφη μεν στις 7 Ιουλίου αλλά δημοσιεύτηκε στο ΦΕΚ στις 8 Ιουλίου 2014, άρα εκπρόθεσμα των 3 μηνών.</w:t>
      </w:r>
    </w:p>
    <w:p w:rsidR="004F4C75" w:rsidRPr="00BE5B93" w:rsidRDefault="004F4C75" w:rsidP="004F4C75">
      <w:pPr>
        <w:pStyle w:val="a3"/>
        <w:numPr>
          <w:ilvl w:val="0"/>
          <w:numId w:val="11"/>
        </w:numPr>
        <w:rPr>
          <w:szCs w:val="26"/>
        </w:rPr>
      </w:pPr>
      <w:r w:rsidRPr="00BE5B93">
        <w:rPr>
          <w:szCs w:val="26"/>
        </w:rPr>
        <w:t>Φύση της Υπουργικής Απόφασης – Διαβούλευση: Η Υπουργική Απόφαση ως Διοικητική Πράξη μπορεί να είναι δύο ειδών:</w:t>
      </w:r>
    </w:p>
    <w:p w:rsidR="004F4C75" w:rsidRPr="00BE5B93" w:rsidRDefault="004F4C75" w:rsidP="004F4C75">
      <w:pPr>
        <w:pStyle w:val="a3"/>
        <w:numPr>
          <w:ilvl w:val="0"/>
          <w:numId w:val="12"/>
        </w:numPr>
        <w:rPr>
          <w:szCs w:val="26"/>
        </w:rPr>
      </w:pPr>
      <w:r w:rsidRPr="00BE5B93">
        <w:rPr>
          <w:szCs w:val="26"/>
        </w:rPr>
        <w:t>Κανονιστική, δηλαδή αφορά όλους τους  διοικουμένους.  Στην περίπτωση αυτή δεν απαιτείται ειδική αιτιολόγηση, οπότε η διαβούλευση δεν παίζει ρόλο.</w:t>
      </w:r>
    </w:p>
    <w:p w:rsidR="004F4C75" w:rsidRPr="00BE5B93" w:rsidRDefault="004F4C75" w:rsidP="004F4C75">
      <w:pPr>
        <w:pStyle w:val="a3"/>
        <w:numPr>
          <w:ilvl w:val="0"/>
          <w:numId w:val="12"/>
        </w:numPr>
        <w:rPr>
          <w:szCs w:val="26"/>
        </w:rPr>
      </w:pPr>
      <w:r w:rsidRPr="00BE5B93">
        <w:rPr>
          <w:szCs w:val="26"/>
        </w:rPr>
        <w:t>Ατομική αλλά γενικού περιεχομένου, δηλαδή αφορά μία ευρύτερη ομάδα διοικουμένων, η οποία όμως οριοθετείται.  Δεδομένου ότι τα καταστήματα που ανοίγουν στις δεδομένες περιοχές οριοθετούνται, πιστεύουμε ότι η Υπουργική Απόφαση αποτελεί ατομική διοικητική πράξη γενικού περιεχομένου, οπότε απαιτεί ειδική αιτιολόγηση.  Τέτοια δεν υπάρχει, ούτε η διαβούλευση που πραγματοποιήθηκε την καλύπτει.</w:t>
      </w:r>
    </w:p>
    <w:p w:rsidR="004F4C75" w:rsidRPr="00BE5B93" w:rsidRDefault="004F4C75" w:rsidP="004F4C75">
      <w:pPr>
        <w:pStyle w:val="a3"/>
        <w:numPr>
          <w:ilvl w:val="0"/>
          <w:numId w:val="11"/>
        </w:numPr>
        <w:rPr>
          <w:szCs w:val="26"/>
        </w:rPr>
      </w:pPr>
      <w:r w:rsidRPr="00BE5B93">
        <w:rPr>
          <w:szCs w:val="26"/>
        </w:rPr>
        <w:t>Η υπουργική απόφαση αντίκειται στη Διεθνή Σύμβαση της Γενεύης και την Ευρωπαϊκή Οδηγία 94/104/1993 με τις οποίες καθιερώνεται η Κυριακή ως ημέρα αργίας και απαγορεύεται η λειτουργία των καταστημάτων και η απασχόληση των εργαζομένων. Παραβιάζει επίσης αρχές του Συντάγματος όπως είναι η υποχρέωση του κράτους για την προστασία της οικογένειας (άρθρο 21), της θρησκευτικής ελευθερίας και της άσκησης του δικαιώματος κατά τη</w:t>
      </w:r>
      <w:r w:rsidR="00744D8E">
        <w:rPr>
          <w:szCs w:val="26"/>
        </w:rPr>
        <w:t>ν</w:t>
      </w:r>
      <w:r w:rsidRPr="00BE5B93">
        <w:rPr>
          <w:szCs w:val="26"/>
        </w:rPr>
        <w:t xml:space="preserve"> καθιερωμένη αργία της Κυριακής (άρθρο 13), της ελεύθερης ανάπτυξης προσωπικότητας και της </w:t>
      </w:r>
      <w:r w:rsidRPr="00BE5B93">
        <w:rPr>
          <w:szCs w:val="26"/>
        </w:rPr>
        <w:lastRenderedPageBreak/>
        <w:t>συμμετοχής στην οικονομική και κοινωνική ζωή της χώρας και την απαγόρευση του ελεύθερου ανταγωνισμού (άρθρα 5 και 22).</w:t>
      </w:r>
    </w:p>
    <w:p w:rsidR="004F4C75" w:rsidRPr="00BE5B93" w:rsidRDefault="004F4C75" w:rsidP="004F4C75">
      <w:pPr>
        <w:pStyle w:val="a3"/>
        <w:numPr>
          <w:ilvl w:val="0"/>
          <w:numId w:val="11"/>
        </w:numPr>
        <w:rPr>
          <w:szCs w:val="26"/>
        </w:rPr>
      </w:pPr>
      <w:r w:rsidRPr="00BE5B93">
        <w:rPr>
          <w:szCs w:val="26"/>
        </w:rPr>
        <w:t>Βλάβη των ΜμΕ εμπόρων: Οι έμποροι που ανοίγουν, το κάνουν με δυσβάστακτο κόστος της προσωπικής τους ζωής και άρα υφίστανται ανεπανόρθωτη βλάβη.</w:t>
      </w:r>
    </w:p>
    <w:p w:rsidR="004F4C75" w:rsidRDefault="004F4C75" w:rsidP="004F4C75">
      <w:pPr>
        <w:rPr>
          <w:szCs w:val="26"/>
        </w:rPr>
      </w:pPr>
      <w:r w:rsidRPr="00BE5B93">
        <w:rPr>
          <w:szCs w:val="26"/>
        </w:rPr>
        <w:t xml:space="preserve">Η ΕΣΕΕ και άλλοι φορείς </w:t>
      </w:r>
      <w:r w:rsidRPr="00334EDE">
        <w:rPr>
          <w:b/>
          <w:szCs w:val="26"/>
        </w:rPr>
        <w:t>έχουμε προσφύγει προς το Συμβούλιο της Επικρατείας</w:t>
      </w:r>
      <w:r w:rsidRPr="00BE5B93">
        <w:rPr>
          <w:szCs w:val="26"/>
        </w:rPr>
        <w:t xml:space="preserve">, το οποίο θα κρίνει το επίμαχο θέμα και θα αποφασίσει εάν τελικά θα αναστείλει και να ακυρώσει την Υπουργική απόφαση που δήθεν πιλοτικά επιτρέπει να λειτουργούν τα καταστήματα όλες τις Κυριακές του χρόνου. </w:t>
      </w:r>
    </w:p>
    <w:p w:rsidR="004F4C75" w:rsidRDefault="004F4C75" w:rsidP="004F4C75">
      <w:pPr>
        <w:rPr>
          <w:szCs w:val="26"/>
        </w:rPr>
      </w:pPr>
      <w:r>
        <w:rPr>
          <w:szCs w:val="26"/>
        </w:rPr>
        <w:t xml:space="preserve">Εν τω μεταξύ, </w:t>
      </w:r>
      <w:r w:rsidRPr="006B3F76">
        <w:rPr>
          <w:b/>
          <w:szCs w:val="26"/>
        </w:rPr>
        <w:t>το Υπουργείο Ανάπτυξης και Ανταγωνιστικότητας ζητάει στο</w:t>
      </w:r>
      <w:r w:rsidR="00744D8E">
        <w:rPr>
          <w:b/>
          <w:szCs w:val="26"/>
        </w:rPr>
        <w:t>ιχεία για τις Κυριακές από αναρμόδιους</w:t>
      </w:r>
      <w:r w:rsidRPr="006B3F76">
        <w:rPr>
          <w:b/>
          <w:szCs w:val="26"/>
        </w:rPr>
        <w:t xml:space="preserve"> φορείς, την στιγμή που η ΕΣΕΕ έχει ήδη τις απαντήσεις</w:t>
      </w:r>
      <w:r>
        <w:rPr>
          <w:szCs w:val="26"/>
        </w:rPr>
        <w:t>.  Συγκε</w:t>
      </w:r>
      <w:r w:rsidR="00744D8E">
        <w:rPr>
          <w:szCs w:val="26"/>
        </w:rPr>
        <w:t>κριμένα, η Συνομοσπονδία διεξήγαγε</w:t>
      </w:r>
      <w:r>
        <w:rPr>
          <w:szCs w:val="26"/>
        </w:rPr>
        <w:t xml:space="preserve"> έρευνες για τις Κυριακές, 20 και 27 Ιουλίου, τα ευρήματα των οποίων δείχνουν ότι ούτε οι έμποροι είναι ευχαριστημένοι με το μέτρο, ούτε ότι τα ανοιχτά καταστήματα (όσα ήταν) είχαν απήχηση στους καταναλωτές.</w:t>
      </w:r>
    </w:p>
    <w:p w:rsidR="004F4C75" w:rsidRPr="0009324D" w:rsidRDefault="004F4C75" w:rsidP="004F4C75">
      <w:pPr>
        <w:rPr>
          <w:rFonts w:cs="Times New Roman"/>
          <w:szCs w:val="26"/>
        </w:rPr>
      </w:pPr>
      <w:r>
        <w:rPr>
          <w:szCs w:val="26"/>
        </w:rPr>
        <w:t>Συγκεκριμένα, ως προς την πρώτη έρευνα, η</w:t>
      </w:r>
      <w:r w:rsidRPr="0009324D">
        <w:rPr>
          <w:rFonts w:cs="Times New Roman"/>
          <w:szCs w:val="26"/>
        </w:rPr>
        <w:t xml:space="preserve"> ΕΣΕΕ διερεύνησε  την κίνηση στην αγορά την Κυριακή τ</w:t>
      </w:r>
      <w:r>
        <w:rPr>
          <w:szCs w:val="26"/>
        </w:rPr>
        <w:t xml:space="preserve">ων καλοκαιρινών εκπτώσεων (20 Ιουλίου), </w:t>
      </w:r>
      <w:r w:rsidRPr="0009324D">
        <w:rPr>
          <w:rFonts w:cs="Times New Roman"/>
          <w:szCs w:val="26"/>
        </w:rPr>
        <w:t xml:space="preserve">κατά την οποία τα καταστήματα σε όλη τη χώρα μπορούσαν να είναι ανοικτά.  Η έρευνα ήταν τηλεφωνική σε δομημένο ερωτηματολόγιο σε τυχαίο δείγμα </w:t>
      </w:r>
      <w:r w:rsidRPr="001F51C7">
        <w:rPr>
          <w:rFonts w:cs="Times New Roman"/>
          <w:b/>
          <w:szCs w:val="26"/>
        </w:rPr>
        <w:t>227</w:t>
      </w:r>
      <w:r w:rsidRPr="0009324D">
        <w:rPr>
          <w:rFonts w:cs="Times New Roman"/>
          <w:szCs w:val="26"/>
        </w:rPr>
        <w:t xml:space="preserve"> </w:t>
      </w:r>
      <w:r w:rsidRPr="0009324D">
        <w:rPr>
          <w:rFonts w:cs="Times New Roman"/>
          <w:b/>
          <w:szCs w:val="26"/>
        </w:rPr>
        <w:t>εμπορικών επιχειρήσεων</w:t>
      </w:r>
      <w:r w:rsidRPr="0009324D">
        <w:rPr>
          <w:rFonts w:cs="Times New Roman"/>
          <w:szCs w:val="26"/>
        </w:rPr>
        <w:t xml:space="preserve"> στις εμπορικές αγορές της Αθήνας, της Θεσσαλονίκης και ορισμένων σημαντικών περιφερειακών αγορών της Αττικής (Πειραιάς, Μαρούσι, Ν. Ιωνία, Γλυφάδα, Χαλάνδρι, Κηφισιά, Περιστέρι, Ν. Ιωνία, Ν. Σμύρνη). Το κύριο κριτήριο για την επιλογή της επιχείρησης ήταν η εγκατάστασή της σε παραδοσιακούς εμπορικούς δρόμους στα κέντρα πόλεων.  </w:t>
      </w:r>
    </w:p>
    <w:p w:rsidR="004F4C75" w:rsidRPr="0009324D" w:rsidRDefault="004F4C75" w:rsidP="004F4C75">
      <w:pPr>
        <w:rPr>
          <w:rFonts w:cs="Times New Roman"/>
          <w:szCs w:val="26"/>
        </w:rPr>
      </w:pPr>
      <w:r w:rsidRPr="0009324D">
        <w:rPr>
          <w:rFonts w:cs="Times New Roman"/>
          <w:szCs w:val="26"/>
        </w:rPr>
        <w:t xml:space="preserve">Από τα σημαντικότερα ευρήματα της έρευνας είναι ότι ένα πολύ μεγάλο ποσοστό επιχειρήσεων δεν άνοιξε καν το κατάστημα την Κυριακή 20 Ιουλίου. Συγκεκριμένα το ποσοστό αυτό ανέρχεται στο 40% με το ποσοστό για την Θεσσαλονίκη να φτάνει στο 53%. </w:t>
      </w:r>
    </w:p>
    <w:p w:rsidR="004F4C75" w:rsidRPr="0009324D" w:rsidRDefault="004F4C75" w:rsidP="004F4C75">
      <w:pPr>
        <w:rPr>
          <w:rFonts w:cs="Times New Roman"/>
          <w:szCs w:val="26"/>
        </w:rPr>
      </w:pPr>
      <w:r>
        <w:rPr>
          <w:szCs w:val="26"/>
        </w:rPr>
        <w:t>Το αποτέλεσμα δεν επαλήθευσε τις μεγάλες προσδοκίες των υποστηρικτών του μέτρου, ι</w:t>
      </w:r>
      <w:r w:rsidRPr="0009324D">
        <w:rPr>
          <w:rFonts w:cs="Times New Roman"/>
          <w:szCs w:val="26"/>
        </w:rPr>
        <w:t xml:space="preserve">διαίτερα για το κέντρο της Αθήνας και με δεδομένο ότι η τουριστική </w:t>
      </w:r>
      <w:r w:rsidRPr="0009324D">
        <w:rPr>
          <w:rFonts w:cs="Times New Roman"/>
          <w:szCs w:val="26"/>
        </w:rPr>
        <w:lastRenderedPageBreak/>
        <w:t>κίνηση είναι σαφώς αυξημένη.  Άλλωστε, το κυριακάτικο άνοιγμα στηρίζεται κυρίως στο επιχείρημα του τουρισμού. Κι όμως ιδίως για το κέντρο της Αθήνας δεν υπήρξε καμία θετική απάντηση</w:t>
      </w:r>
      <w:r>
        <w:rPr>
          <w:szCs w:val="26"/>
        </w:rPr>
        <w:t xml:space="preserve"> για την πορεία του τζίρου την συγκεκριμένη Κυριακή</w:t>
      </w:r>
      <w:r w:rsidRPr="0009324D">
        <w:rPr>
          <w:rFonts w:cs="Times New Roman"/>
          <w:szCs w:val="26"/>
        </w:rPr>
        <w:t xml:space="preserve">. </w:t>
      </w:r>
    </w:p>
    <w:p w:rsidR="004F4C75" w:rsidRPr="0009324D" w:rsidRDefault="004F4C75" w:rsidP="004F4C75">
      <w:pPr>
        <w:rPr>
          <w:rFonts w:cs="Times New Roman"/>
          <w:szCs w:val="26"/>
        </w:rPr>
      </w:pPr>
      <w:r w:rsidRPr="0009324D">
        <w:rPr>
          <w:rFonts w:cs="Times New Roman"/>
          <w:noProof/>
          <w:szCs w:val="26"/>
          <w:lang w:eastAsia="el-GR"/>
        </w:rPr>
        <w:drawing>
          <wp:inline distT="0" distB="0" distL="0" distR="0">
            <wp:extent cx="5270057" cy="3467819"/>
            <wp:effectExtent l="19050" t="0" r="25843" b="0"/>
            <wp:docPr id="12"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4C75" w:rsidRDefault="004F4C75" w:rsidP="004F4C75">
      <w:pPr>
        <w:rPr>
          <w:rFonts w:cs="Times New Roman"/>
          <w:szCs w:val="26"/>
        </w:rPr>
      </w:pPr>
    </w:p>
    <w:p w:rsidR="004F4C75" w:rsidRPr="0009324D" w:rsidRDefault="004F4C75" w:rsidP="004F4C75">
      <w:pPr>
        <w:rPr>
          <w:rFonts w:cs="Times New Roman"/>
          <w:szCs w:val="26"/>
        </w:rPr>
      </w:pPr>
      <w:r w:rsidRPr="0009324D">
        <w:rPr>
          <w:rFonts w:cs="Times New Roman"/>
          <w:szCs w:val="26"/>
        </w:rPr>
        <w:t xml:space="preserve">Στο πλαίσιο της έρευνας, οι επιχειρηματίες βαθμολόγησαν το μέτρο του κυριακάτικου ανοίγματος ελεύθερα από το 1 έως το 5 με βάση την αποτελεσματικότητά του, στην αύξηση του τζίρου της επιχείρησης συνολικά και όχι μόνο την Κυριακή.  Όπως φαίνεται και διαγραμματικά η απόλυτη πλειοψηφία κατατάσσει το μέτρο ως </w:t>
      </w:r>
      <w:r w:rsidRPr="0009324D">
        <w:rPr>
          <w:rFonts w:cs="Times New Roman"/>
          <w:b/>
          <w:szCs w:val="26"/>
        </w:rPr>
        <w:t>τελείως αναποτελεσματικό</w:t>
      </w:r>
      <w:r w:rsidRPr="0009324D">
        <w:rPr>
          <w:rFonts w:cs="Times New Roman"/>
          <w:szCs w:val="26"/>
        </w:rPr>
        <w:t xml:space="preserve"> ενώ οριακές και διάσπαρτες είναι οι απαντήσεις που δόθηκαν από το 3 έως το 5.</w:t>
      </w:r>
    </w:p>
    <w:p w:rsidR="004F4C75" w:rsidRPr="0009324D" w:rsidRDefault="004F4C75" w:rsidP="004F4C75">
      <w:pPr>
        <w:rPr>
          <w:rFonts w:cs="Times New Roman"/>
          <w:szCs w:val="26"/>
        </w:rPr>
      </w:pPr>
      <w:r w:rsidRPr="0009324D">
        <w:rPr>
          <w:rFonts w:cs="Times New Roman"/>
          <w:szCs w:val="26"/>
        </w:rPr>
        <w:t xml:space="preserve">Αρκετό ενδιαφέρον παρουσίασαν οι απαντήσεις των εμπόρων αναφορικά με την αύξηση του λειτουργικού κόστους της επιχείρησης από το άνοιγμα της Κυριακής.  Το </w:t>
      </w:r>
      <w:r w:rsidRPr="0009324D">
        <w:rPr>
          <w:rFonts w:cs="Times New Roman"/>
          <w:b/>
          <w:szCs w:val="26"/>
        </w:rPr>
        <w:t>64% επιβαρύνεται από το άνοιγμα</w:t>
      </w:r>
      <w:r w:rsidRPr="0009324D">
        <w:rPr>
          <w:rFonts w:cs="Times New Roman"/>
          <w:szCs w:val="26"/>
        </w:rPr>
        <w:t xml:space="preserve"> ενώ ένα αρκετά σημαντικό ποσοστό, το 36% δείχνει ότι κρίνει αμελητέα έως και μηδενική την επιβάρυνση. </w:t>
      </w:r>
    </w:p>
    <w:p w:rsidR="004F4C75" w:rsidRPr="0009324D" w:rsidRDefault="004F4C75" w:rsidP="004F4C75">
      <w:pPr>
        <w:rPr>
          <w:rFonts w:cs="Times New Roman"/>
          <w:szCs w:val="26"/>
        </w:rPr>
      </w:pPr>
    </w:p>
    <w:p w:rsidR="004F4C75" w:rsidRPr="0009324D" w:rsidRDefault="004F4C75" w:rsidP="004F4C75">
      <w:pPr>
        <w:rPr>
          <w:rFonts w:cs="Times New Roman"/>
          <w:szCs w:val="26"/>
        </w:rPr>
      </w:pPr>
    </w:p>
    <w:p w:rsidR="004F4C75" w:rsidRPr="0009324D" w:rsidRDefault="004F4C75" w:rsidP="004F4C75">
      <w:pPr>
        <w:rPr>
          <w:rFonts w:cs="Times New Roman"/>
          <w:szCs w:val="26"/>
          <w:lang w:val="en-US"/>
        </w:rPr>
      </w:pPr>
      <w:r w:rsidRPr="0009324D">
        <w:rPr>
          <w:rFonts w:cs="Times New Roman"/>
          <w:noProof/>
          <w:szCs w:val="26"/>
          <w:lang w:eastAsia="el-GR"/>
        </w:rPr>
        <w:lastRenderedPageBreak/>
        <w:drawing>
          <wp:inline distT="0" distB="0" distL="0" distR="0">
            <wp:extent cx="5061833" cy="2480807"/>
            <wp:effectExtent l="19050" t="0" r="24517" b="0"/>
            <wp:docPr id="13"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4C75" w:rsidRPr="0009324D" w:rsidRDefault="004F4C75" w:rsidP="004F4C75">
      <w:pPr>
        <w:rPr>
          <w:rFonts w:cs="Times New Roman"/>
          <w:szCs w:val="26"/>
          <w:lang w:val="en-US"/>
        </w:rPr>
      </w:pPr>
    </w:p>
    <w:p w:rsidR="004F4C75" w:rsidRPr="0009324D" w:rsidRDefault="004F4C75" w:rsidP="004F4C75">
      <w:pPr>
        <w:rPr>
          <w:rFonts w:cs="Times New Roman"/>
          <w:szCs w:val="26"/>
        </w:rPr>
      </w:pPr>
      <w:r w:rsidRPr="0009324D">
        <w:rPr>
          <w:rFonts w:cs="Times New Roman"/>
          <w:szCs w:val="26"/>
        </w:rPr>
        <w:t>Τέλος,  στην πρόθεση πρόσληψης υπαλλήλου με αφορμή το άνοιγμα της επιχείρησης την Κυριακή, όλοι σχεδόν οι έμποροι απαντούν αρνητικά όχι μόνο για τώρα αλλά και για το μέλλον. Δηλαδή, επιχειρήσεις οι οποίες ανοίγουν την Κυριακή, δεν προτίθε</w:t>
      </w:r>
      <w:r w:rsidR="00744D8E">
        <w:rPr>
          <w:rFonts w:cs="Times New Roman"/>
          <w:szCs w:val="26"/>
        </w:rPr>
        <w:t>ν</w:t>
      </w:r>
      <w:r w:rsidRPr="0009324D">
        <w:rPr>
          <w:rFonts w:cs="Times New Roman"/>
          <w:szCs w:val="26"/>
        </w:rPr>
        <w:t xml:space="preserve">ται να προσλάβουν υπάλληλο. Το ποσοστό είναι συντριπτικό για να μπορεί κανείς να το αμφισβητήσει και αποδυναμώνει πλήρως το επιχείρημα των υποστηρικτών του ανοίγματος περί αύξησης της απασχόλησης. </w:t>
      </w:r>
    </w:p>
    <w:p w:rsidR="004F4C75" w:rsidRPr="0009324D" w:rsidRDefault="004F4C75" w:rsidP="004F4C75">
      <w:pPr>
        <w:rPr>
          <w:rFonts w:cs="Times New Roman"/>
          <w:szCs w:val="26"/>
        </w:rPr>
      </w:pPr>
    </w:p>
    <w:p w:rsidR="004F4C75" w:rsidRPr="0009324D" w:rsidRDefault="004F4C75" w:rsidP="004F4C75">
      <w:pPr>
        <w:rPr>
          <w:rFonts w:cs="Times New Roman"/>
          <w:szCs w:val="26"/>
        </w:rPr>
      </w:pPr>
      <w:r w:rsidRPr="0009324D">
        <w:rPr>
          <w:rFonts w:cs="Times New Roman"/>
          <w:noProof/>
          <w:szCs w:val="26"/>
          <w:lang w:eastAsia="el-GR"/>
        </w:rPr>
        <w:drawing>
          <wp:inline distT="0" distB="0" distL="0" distR="0">
            <wp:extent cx="5270831" cy="2480807"/>
            <wp:effectExtent l="19050" t="0" r="25069" b="0"/>
            <wp:docPr id="14"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4C75" w:rsidRDefault="004F4C75" w:rsidP="004F4C75">
      <w:pPr>
        <w:rPr>
          <w:szCs w:val="26"/>
        </w:rPr>
      </w:pPr>
    </w:p>
    <w:p w:rsidR="004F4C75" w:rsidRDefault="004F4C75" w:rsidP="004F4C75">
      <w:pPr>
        <w:rPr>
          <w:szCs w:val="26"/>
        </w:rPr>
      </w:pPr>
      <w:r w:rsidRPr="001F51C7">
        <w:rPr>
          <w:szCs w:val="26"/>
        </w:rPr>
        <w:t>Στο πλαίσιο της δεύτερης έρευνας</w:t>
      </w:r>
      <w:r>
        <w:rPr>
          <w:szCs w:val="26"/>
        </w:rPr>
        <w:t xml:space="preserve"> που πραγματοποιήθηκε για την Κυριακή, 27 Ιουλίου</w:t>
      </w:r>
      <w:r w:rsidRPr="001F51C7">
        <w:rPr>
          <w:szCs w:val="26"/>
        </w:rPr>
        <w:t xml:space="preserve">, οι έμποροι του ιστορικού κέντρου της Αθήνας και της Θεσσαλονίκης </w:t>
      </w:r>
      <w:r w:rsidRPr="001F51C7">
        <w:rPr>
          <w:szCs w:val="26"/>
        </w:rPr>
        <w:lastRenderedPageBreak/>
        <w:t>ρωτήθηκαν εάν, σύμφωνα με την δυνατότητα που τους εκχωρεί η πρόσφατη υπουργική απόφαση, άνοιξαν τα καταστήματά τους τη</w:t>
      </w:r>
      <w:r>
        <w:rPr>
          <w:szCs w:val="26"/>
        </w:rPr>
        <w:t>ν συγκεκριμένη Κυριακή</w:t>
      </w:r>
      <w:r w:rsidRPr="001F51C7">
        <w:rPr>
          <w:szCs w:val="26"/>
        </w:rPr>
        <w:t>. Με βάση τα αποτελέσματα της έρευνας εκτιμάται ότι ο αριθμός των καταστημάτων που άνοιξαν την Κυριακή ε</w:t>
      </w:r>
      <w:r>
        <w:rPr>
          <w:szCs w:val="26"/>
        </w:rPr>
        <w:t>ίναι πολύ μικρός, ενώ η συντριπτική πλειοψηφία των καταστημάτων (σε ποσοστά 80% έως 90% σε Αθήνα – Θεσσαλονίκη) παρέμειναν κλειστά</w:t>
      </w:r>
      <w:r w:rsidRPr="001F51C7">
        <w:rPr>
          <w:szCs w:val="26"/>
        </w:rPr>
        <w:t xml:space="preserve">. </w:t>
      </w:r>
    </w:p>
    <w:p w:rsidR="004F4C75" w:rsidRPr="001F51C7" w:rsidRDefault="004F4C75" w:rsidP="004F4C75">
      <w:pPr>
        <w:rPr>
          <w:szCs w:val="26"/>
        </w:rPr>
      </w:pPr>
      <w:r w:rsidRPr="001F51C7">
        <w:rPr>
          <w:szCs w:val="26"/>
        </w:rPr>
        <w:t>Ωστόσο, για τα καταστήματα που άνοιξαν, υπήρξε σχετική ταύτιση των απόψεων των επιχειρηματιών αναφορικά με τον τζίρο της Κυριακής, καθώς, οι περισσότεροι καταστηματάρχες που επέλεξαν να λειτουργήσουν την επιχείρησή τους δήλωσαν από «λίγο έως καθόλου ικανοποιημένοι» από τον τζίρο που πραγματοποίησαν τις δύο Κυριακές του Ιουλίου.</w:t>
      </w:r>
    </w:p>
    <w:p w:rsidR="004F4C75" w:rsidRPr="001F51C7" w:rsidRDefault="004F4C75" w:rsidP="004F4C75">
      <w:pPr>
        <w:rPr>
          <w:rFonts w:cs="Times New Roman"/>
          <w:szCs w:val="26"/>
        </w:rPr>
      </w:pPr>
      <w:r w:rsidRPr="001F51C7">
        <w:rPr>
          <w:szCs w:val="26"/>
        </w:rPr>
        <w:t xml:space="preserve">Για όλους αυτούς τους λόγους, η ΕΣΕΕ επιμένει ότι </w:t>
      </w:r>
      <w:r w:rsidRPr="001F51C7">
        <w:rPr>
          <w:b/>
          <w:szCs w:val="26"/>
        </w:rPr>
        <w:t>η</w:t>
      </w:r>
      <w:r w:rsidRPr="001F51C7">
        <w:rPr>
          <w:rFonts w:eastAsia="Times New Roman"/>
          <w:b/>
          <w:szCs w:val="26"/>
        </w:rPr>
        <w:t xml:space="preserve"> κυριακάτικη λειτουργία των καταστημάτων πρέπει να παραμείνει εξαίρεση και όχι να γίνει κανόνας</w:t>
      </w:r>
      <w:r>
        <w:rPr>
          <w:b/>
          <w:szCs w:val="26"/>
        </w:rPr>
        <w:t>.</w:t>
      </w:r>
    </w:p>
    <w:p w:rsidR="00625048" w:rsidRDefault="00625048" w:rsidP="00625048">
      <w:pPr>
        <w:rPr>
          <w:rFonts w:eastAsia="Times New Roman"/>
        </w:rPr>
      </w:pPr>
    </w:p>
    <w:p w:rsidR="00F71607" w:rsidRPr="00625048" w:rsidRDefault="00F71607" w:rsidP="00625048">
      <w:pPr>
        <w:rPr>
          <w:rFonts w:eastAsia="Times New Roman"/>
        </w:rPr>
      </w:pPr>
    </w:p>
    <w:sectPr w:rsidR="00F71607" w:rsidRPr="00625048" w:rsidSect="0002097E">
      <w:footerReference w:type="default" r:id="rId12"/>
      <w:pgSz w:w="11906" w:h="16838"/>
      <w:pgMar w:top="1440" w:right="1701" w:bottom="1440"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CF2" w:rsidRDefault="00C46CF2" w:rsidP="001E7DC8">
      <w:pPr>
        <w:spacing w:line="240" w:lineRule="auto"/>
      </w:pPr>
      <w:r>
        <w:separator/>
      </w:r>
    </w:p>
  </w:endnote>
  <w:endnote w:type="continuationSeparator" w:id="0">
    <w:p w:rsidR="00C46CF2" w:rsidRDefault="00C46CF2" w:rsidP="001E7D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MgHelveticaUCPol">
    <w:altName w:val="MS Mincho"/>
    <w:panose1 w:val="00000000000000000000"/>
    <w:charset w:val="80"/>
    <w:family w:val="auto"/>
    <w:notTrueType/>
    <w:pitch w:val="default"/>
    <w:sig w:usb0="00000001" w:usb1="08070000" w:usb2="00000010" w:usb3="00000000" w:csb0="00020000"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7E" w:rsidRDefault="0002097E">
    <w:pPr>
      <w:pStyle w:val="a5"/>
      <w:jc w:val="right"/>
    </w:pPr>
  </w:p>
  <w:p w:rsidR="001E7DC8" w:rsidRDefault="001E7DC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9630"/>
      <w:docPartObj>
        <w:docPartGallery w:val="Page Numbers (Bottom of Page)"/>
        <w:docPartUnique/>
      </w:docPartObj>
    </w:sdtPr>
    <w:sdtContent>
      <w:p w:rsidR="0002097E" w:rsidRDefault="00422B34">
        <w:pPr>
          <w:pStyle w:val="a5"/>
          <w:jc w:val="right"/>
        </w:pPr>
        <w:fldSimple w:instr=" PAGE   \* MERGEFORMAT ">
          <w:r w:rsidR="008A3D72">
            <w:rPr>
              <w:noProof/>
            </w:rPr>
            <w:t>41</w:t>
          </w:r>
        </w:fldSimple>
      </w:p>
    </w:sdtContent>
  </w:sdt>
  <w:p w:rsidR="0002097E" w:rsidRDefault="000209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CF2" w:rsidRDefault="00C46CF2" w:rsidP="001E7DC8">
      <w:pPr>
        <w:spacing w:line="240" w:lineRule="auto"/>
      </w:pPr>
      <w:r>
        <w:separator/>
      </w:r>
    </w:p>
  </w:footnote>
  <w:footnote w:type="continuationSeparator" w:id="0">
    <w:p w:rsidR="00C46CF2" w:rsidRDefault="00C46CF2" w:rsidP="001E7D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8F" w:rsidRDefault="00DF238F" w:rsidP="00DF238F">
    <w:pPr>
      <w:rPr>
        <w:rFonts w:cs="Times New Roman"/>
        <w:b/>
        <w:sz w:val="20"/>
        <w:szCs w:val="20"/>
      </w:rPr>
    </w:pPr>
    <w:r w:rsidRPr="005F526E">
      <w:rPr>
        <w:noProof/>
        <w:lang w:eastAsia="el-GR"/>
      </w:rPr>
      <w:drawing>
        <wp:inline distT="0" distB="0" distL="0" distR="0">
          <wp:extent cx="908360" cy="414670"/>
          <wp:effectExtent l="19050" t="0" r="604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15893" cy="418109"/>
                  </a:xfrm>
                  <a:prstGeom prst="rect">
                    <a:avLst/>
                  </a:prstGeom>
                  <a:noFill/>
                  <a:ln w="9525">
                    <a:noFill/>
                    <a:miter lim="800000"/>
                    <a:headEnd/>
                    <a:tailEnd/>
                  </a:ln>
                </pic:spPr>
              </pic:pic>
            </a:graphicData>
          </a:graphic>
        </wp:inline>
      </w:drawing>
    </w:r>
    <w:r w:rsidRPr="009E35F1">
      <w:rPr>
        <w:b/>
      </w:rPr>
      <w:t xml:space="preserve"> </w:t>
    </w:r>
    <w:r>
      <w:rPr>
        <w:b/>
      </w:rPr>
      <w:t xml:space="preserve">   </w:t>
    </w:r>
    <w:r w:rsidRPr="009E35F1">
      <w:rPr>
        <w:rFonts w:cs="Times New Roman"/>
        <w:b/>
        <w:sz w:val="20"/>
        <w:szCs w:val="20"/>
      </w:rPr>
      <w:t>ΕΘΝΙΚΗ ΣΥΝΟΜΟΣΠΟΝΔΙΑ ΕΛΛΗΝΙΚΟΥ ΕΜΠΟΡΙΟΥ</w:t>
    </w:r>
  </w:p>
  <w:p w:rsidR="00581981" w:rsidRDefault="00581981" w:rsidP="00DF238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5B8"/>
    <w:multiLevelType w:val="hybridMultilevel"/>
    <w:tmpl w:val="3300DD2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D163E8D"/>
    <w:multiLevelType w:val="hybridMultilevel"/>
    <w:tmpl w:val="D2CC81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D534B7C"/>
    <w:multiLevelType w:val="hybridMultilevel"/>
    <w:tmpl w:val="5756D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69C5FD2"/>
    <w:multiLevelType w:val="hybridMultilevel"/>
    <w:tmpl w:val="91A040EA"/>
    <w:lvl w:ilvl="0" w:tplc="A050A2C2">
      <w:start w:val="9"/>
      <w:numFmt w:val="bullet"/>
      <w:lvlText w:val="-"/>
      <w:lvlJc w:val="left"/>
      <w:pPr>
        <w:ind w:left="1080" w:hanging="360"/>
      </w:pPr>
      <w:rPr>
        <w:rFonts w:ascii="Times New Roman" w:eastAsia="Times New Roman" w:hAnsi="Times New Roman" w:cs="Times New Roman" w:hint="default"/>
        <w:color w:val="0070C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3784743D"/>
    <w:multiLevelType w:val="hybridMultilevel"/>
    <w:tmpl w:val="1E6453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80C6C9D"/>
    <w:multiLevelType w:val="hybridMultilevel"/>
    <w:tmpl w:val="14648C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AAB0209"/>
    <w:multiLevelType w:val="hybridMultilevel"/>
    <w:tmpl w:val="7E46E9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EDB22F2"/>
    <w:multiLevelType w:val="hybridMultilevel"/>
    <w:tmpl w:val="9D7ADCD0"/>
    <w:lvl w:ilvl="0" w:tplc="FB187BB0">
      <w:start w:val="3"/>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4F9D7E64"/>
    <w:multiLevelType w:val="hybridMultilevel"/>
    <w:tmpl w:val="F606F354"/>
    <w:lvl w:ilvl="0" w:tplc="5F28DB8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9153BF6"/>
    <w:multiLevelType w:val="hybridMultilevel"/>
    <w:tmpl w:val="63E23810"/>
    <w:lvl w:ilvl="0" w:tplc="237CA8B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CEE6D2D"/>
    <w:multiLevelType w:val="hybridMultilevel"/>
    <w:tmpl w:val="089EE430"/>
    <w:lvl w:ilvl="0" w:tplc="81AE576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C1245EA"/>
    <w:multiLevelType w:val="hybridMultilevel"/>
    <w:tmpl w:val="B882C5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D3C666C"/>
    <w:multiLevelType w:val="hybridMultilevel"/>
    <w:tmpl w:val="329AC2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A2C2B62"/>
    <w:multiLevelType w:val="hybridMultilevel"/>
    <w:tmpl w:val="FF6EB3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7"/>
  </w:num>
  <w:num w:numId="5">
    <w:abstractNumId w:val="10"/>
  </w:num>
  <w:num w:numId="6">
    <w:abstractNumId w:val="13"/>
  </w:num>
  <w:num w:numId="7">
    <w:abstractNumId w:val="8"/>
  </w:num>
  <w:num w:numId="8">
    <w:abstractNumId w:val="2"/>
  </w:num>
  <w:num w:numId="9">
    <w:abstractNumId w:val="9"/>
  </w:num>
  <w:num w:numId="10">
    <w:abstractNumId w:val="0"/>
  </w:num>
  <w:num w:numId="11">
    <w:abstractNumId w:val="12"/>
  </w:num>
  <w:num w:numId="12">
    <w:abstractNumId w:val="3"/>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061A6"/>
    <w:rsid w:val="0002097E"/>
    <w:rsid w:val="00063CC5"/>
    <w:rsid w:val="001455F1"/>
    <w:rsid w:val="00160D22"/>
    <w:rsid w:val="00163F22"/>
    <w:rsid w:val="00184A86"/>
    <w:rsid w:val="001853FB"/>
    <w:rsid w:val="001C244F"/>
    <w:rsid w:val="001E7DC8"/>
    <w:rsid w:val="0027241E"/>
    <w:rsid w:val="002A678D"/>
    <w:rsid w:val="002B12D0"/>
    <w:rsid w:val="002C1FBE"/>
    <w:rsid w:val="002D4B69"/>
    <w:rsid w:val="003373D2"/>
    <w:rsid w:val="003573F1"/>
    <w:rsid w:val="003719AF"/>
    <w:rsid w:val="003A2314"/>
    <w:rsid w:val="003A3201"/>
    <w:rsid w:val="003D4186"/>
    <w:rsid w:val="003E756E"/>
    <w:rsid w:val="00422B34"/>
    <w:rsid w:val="00434168"/>
    <w:rsid w:val="0044750E"/>
    <w:rsid w:val="004B1899"/>
    <w:rsid w:val="004F4C75"/>
    <w:rsid w:val="00513268"/>
    <w:rsid w:val="00517016"/>
    <w:rsid w:val="0052024D"/>
    <w:rsid w:val="00542ED5"/>
    <w:rsid w:val="00571E62"/>
    <w:rsid w:val="00581981"/>
    <w:rsid w:val="00592DD0"/>
    <w:rsid w:val="00625048"/>
    <w:rsid w:val="00631BA7"/>
    <w:rsid w:val="0065023F"/>
    <w:rsid w:val="00686327"/>
    <w:rsid w:val="006B217F"/>
    <w:rsid w:val="006F5D53"/>
    <w:rsid w:val="00730BBE"/>
    <w:rsid w:val="00744D8E"/>
    <w:rsid w:val="007713BD"/>
    <w:rsid w:val="007C681E"/>
    <w:rsid w:val="007D484A"/>
    <w:rsid w:val="007D7360"/>
    <w:rsid w:val="007E5FC2"/>
    <w:rsid w:val="00806BF9"/>
    <w:rsid w:val="00853E0C"/>
    <w:rsid w:val="00870433"/>
    <w:rsid w:val="008A3D72"/>
    <w:rsid w:val="008B7A5E"/>
    <w:rsid w:val="008D0D58"/>
    <w:rsid w:val="009061A6"/>
    <w:rsid w:val="0099179B"/>
    <w:rsid w:val="009D7881"/>
    <w:rsid w:val="009F3D44"/>
    <w:rsid w:val="009F4B7F"/>
    <w:rsid w:val="00A24B40"/>
    <w:rsid w:val="00A31132"/>
    <w:rsid w:val="00A50608"/>
    <w:rsid w:val="00AA730A"/>
    <w:rsid w:val="00AC0B4A"/>
    <w:rsid w:val="00AC1013"/>
    <w:rsid w:val="00AD72B9"/>
    <w:rsid w:val="00AE4EAC"/>
    <w:rsid w:val="00B62779"/>
    <w:rsid w:val="00B645E7"/>
    <w:rsid w:val="00B817CF"/>
    <w:rsid w:val="00BA33D5"/>
    <w:rsid w:val="00BC377B"/>
    <w:rsid w:val="00BD4C51"/>
    <w:rsid w:val="00C225F5"/>
    <w:rsid w:val="00C309F9"/>
    <w:rsid w:val="00C46CF2"/>
    <w:rsid w:val="00CA2FA7"/>
    <w:rsid w:val="00D21217"/>
    <w:rsid w:val="00D56699"/>
    <w:rsid w:val="00D749B9"/>
    <w:rsid w:val="00D95E4E"/>
    <w:rsid w:val="00DC0451"/>
    <w:rsid w:val="00DE417F"/>
    <w:rsid w:val="00DF238F"/>
    <w:rsid w:val="00DF5A9F"/>
    <w:rsid w:val="00E01958"/>
    <w:rsid w:val="00E16DE7"/>
    <w:rsid w:val="00E85B11"/>
    <w:rsid w:val="00EA68DE"/>
    <w:rsid w:val="00F4582E"/>
    <w:rsid w:val="00F71607"/>
    <w:rsid w:val="00FA67D3"/>
    <w:rsid w:val="00FC49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gHelveticaUCPol"/>
        <w:sz w:val="26"/>
        <w:szCs w:val="24"/>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BA7"/>
    <w:pPr>
      <w:ind w:left="720"/>
      <w:contextualSpacing/>
    </w:pPr>
  </w:style>
  <w:style w:type="paragraph" w:styleId="a4">
    <w:name w:val="header"/>
    <w:basedOn w:val="a"/>
    <w:link w:val="Char"/>
    <w:uiPriority w:val="99"/>
    <w:unhideWhenUsed/>
    <w:rsid w:val="001E7DC8"/>
    <w:pPr>
      <w:tabs>
        <w:tab w:val="center" w:pos="4153"/>
        <w:tab w:val="right" w:pos="8306"/>
      </w:tabs>
      <w:spacing w:line="240" w:lineRule="auto"/>
    </w:pPr>
  </w:style>
  <w:style w:type="character" w:customStyle="1" w:styleId="Char">
    <w:name w:val="Κεφαλίδα Char"/>
    <w:basedOn w:val="a0"/>
    <w:link w:val="a4"/>
    <w:uiPriority w:val="99"/>
    <w:rsid w:val="001E7DC8"/>
  </w:style>
  <w:style w:type="paragraph" w:styleId="a5">
    <w:name w:val="footer"/>
    <w:basedOn w:val="a"/>
    <w:link w:val="Char0"/>
    <w:uiPriority w:val="99"/>
    <w:unhideWhenUsed/>
    <w:rsid w:val="001E7DC8"/>
    <w:pPr>
      <w:tabs>
        <w:tab w:val="center" w:pos="4153"/>
        <w:tab w:val="right" w:pos="8306"/>
      </w:tabs>
      <w:spacing w:line="240" w:lineRule="auto"/>
    </w:pPr>
  </w:style>
  <w:style w:type="character" w:customStyle="1" w:styleId="Char0">
    <w:name w:val="Υποσέλιδο Char"/>
    <w:basedOn w:val="a0"/>
    <w:link w:val="a5"/>
    <w:uiPriority w:val="99"/>
    <w:rsid w:val="001E7DC8"/>
  </w:style>
  <w:style w:type="table" w:styleId="a6">
    <w:name w:val="Table Grid"/>
    <w:basedOn w:val="a1"/>
    <w:uiPriority w:val="59"/>
    <w:rsid w:val="00592DD0"/>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Char1"/>
    <w:uiPriority w:val="99"/>
    <w:unhideWhenUsed/>
    <w:rsid w:val="007C681E"/>
    <w:pPr>
      <w:spacing w:line="240" w:lineRule="auto"/>
    </w:pPr>
    <w:rPr>
      <w:rFonts w:ascii="Consolas" w:eastAsia="Calibri" w:hAnsi="Consolas" w:cs="Times New Roman"/>
      <w:sz w:val="21"/>
      <w:szCs w:val="21"/>
    </w:rPr>
  </w:style>
  <w:style w:type="character" w:customStyle="1" w:styleId="Char1">
    <w:name w:val="Απλό κείμενο Char"/>
    <w:basedOn w:val="a0"/>
    <w:link w:val="a7"/>
    <w:uiPriority w:val="99"/>
    <w:rsid w:val="007C681E"/>
    <w:rPr>
      <w:rFonts w:ascii="Consolas" w:eastAsia="Calibri" w:hAnsi="Consolas" w:cs="Times New Roman"/>
      <w:sz w:val="21"/>
      <w:szCs w:val="21"/>
    </w:rPr>
  </w:style>
  <w:style w:type="paragraph" w:styleId="a8">
    <w:name w:val="Body Text"/>
    <w:basedOn w:val="a"/>
    <w:link w:val="Char2"/>
    <w:uiPriority w:val="99"/>
    <w:semiHidden/>
    <w:unhideWhenUsed/>
    <w:rsid w:val="004F4C75"/>
    <w:pPr>
      <w:spacing w:after="120" w:line="240" w:lineRule="auto"/>
    </w:pPr>
    <w:rPr>
      <w:rFonts w:eastAsia="Times New Roman" w:cs="Times New Roman"/>
      <w:sz w:val="24"/>
      <w:lang w:eastAsia="el-GR"/>
    </w:rPr>
  </w:style>
  <w:style w:type="character" w:customStyle="1" w:styleId="Char2">
    <w:name w:val="Σώμα κειμένου Char"/>
    <w:basedOn w:val="a0"/>
    <w:link w:val="a8"/>
    <w:uiPriority w:val="99"/>
    <w:semiHidden/>
    <w:rsid w:val="004F4C75"/>
    <w:rPr>
      <w:rFonts w:eastAsia="Times New Roman" w:cs="Times New Roman"/>
      <w:sz w:val="24"/>
      <w:lang w:eastAsia="el-GR"/>
    </w:rPr>
  </w:style>
  <w:style w:type="paragraph" w:styleId="a9">
    <w:name w:val="Balloon Text"/>
    <w:basedOn w:val="a"/>
    <w:link w:val="Char3"/>
    <w:uiPriority w:val="99"/>
    <w:semiHidden/>
    <w:unhideWhenUsed/>
    <w:rsid w:val="00FA67D3"/>
    <w:pPr>
      <w:spacing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FA67D3"/>
    <w:rPr>
      <w:rFonts w:ascii="Tahoma" w:hAnsi="Tahoma" w:cs="Tahoma"/>
      <w:sz w:val="16"/>
      <w:szCs w:val="16"/>
    </w:rPr>
  </w:style>
  <w:style w:type="paragraph" w:styleId="3">
    <w:name w:val="Body Text 3"/>
    <w:basedOn w:val="a"/>
    <w:link w:val="3Char"/>
    <w:uiPriority w:val="99"/>
    <w:semiHidden/>
    <w:unhideWhenUsed/>
    <w:rsid w:val="0002097E"/>
    <w:pPr>
      <w:spacing w:after="120"/>
    </w:pPr>
    <w:rPr>
      <w:sz w:val="16"/>
      <w:szCs w:val="16"/>
    </w:rPr>
  </w:style>
  <w:style w:type="character" w:customStyle="1" w:styleId="3Char">
    <w:name w:val="Σώμα κείμενου 3 Char"/>
    <w:basedOn w:val="a0"/>
    <w:link w:val="3"/>
    <w:uiPriority w:val="99"/>
    <w:semiHidden/>
    <w:rsid w:val="0002097E"/>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stark\departments\ine.db\&#924;&#917;&#923;&#917;&#932;&#917;&#931;_&#917;&#929;&#917;&#933;&#925;&#917;&#931;\&#917;&#928;&#927;&#935;&#921;&#922;&#917;&#931;\SUNDAYS\excel%20&#947;&#953;&#945;%20&#941;&#961;&#949;&#965;&#957;&#945;%20&#922;&#965;&#961;&#953;&#945;&#954;&#974;&#957;_20_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tark\departments\ine.db\&#924;&#917;&#923;&#917;&#932;&#917;&#931;_&#917;&#929;&#917;&#933;&#925;&#917;&#931;\&#917;&#928;&#927;&#935;&#921;&#922;&#917;&#931;\SUNDAYS\excel%20&#947;&#953;&#945;%20&#941;&#961;&#949;&#965;&#957;&#945;%20&#922;&#965;&#961;&#953;&#945;&#954;&#974;&#957;_20_0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tark\departments\ine.db\&#924;&#917;&#923;&#917;&#932;&#917;&#931;_&#917;&#929;&#917;&#933;&#925;&#917;&#931;\&#917;&#928;&#927;&#935;&#921;&#922;&#917;&#931;\SUNDAYS\excel%20&#947;&#953;&#945;%20&#941;&#961;&#949;&#965;&#957;&#945;%20&#922;&#965;&#961;&#953;&#945;&#954;&#974;&#957;_20_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style val="3"/>
  <c:chart>
    <c:title>
      <c:tx>
        <c:rich>
          <a:bodyPr/>
          <a:lstStyle/>
          <a:p>
            <a:pPr>
              <a:defRPr sz="1400"/>
            </a:pPr>
            <a:r>
              <a:rPr lang="el-GR" sz="1400"/>
              <a:t>Αποτελεσματικότητα μέτρου</a:t>
            </a:r>
            <a:r>
              <a:rPr lang="el-GR" sz="1400" baseline="0"/>
              <a:t> αναφορικά με την αύξηση του τζίρου (1=Καθόλου/5=Πολύ)</a:t>
            </a:r>
            <a:endParaRPr lang="el-GR" sz="1400"/>
          </a:p>
        </c:rich>
      </c:tx>
      <c:layout>
        <c:manualLayout>
          <c:xMode val="edge"/>
          <c:yMode val="edge"/>
          <c:x val="0.13444444444444781"/>
          <c:y val="5.1398360919170834E-2"/>
        </c:manualLayout>
      </c:layout>
    </c:title>
    <c:plotArea>
      <c:layout>
        <c:manualLayout>
          <c:layoutTarget val="inner"/>
          <c:xMode val="edge"/>
          <c:yMode val="edge"/>
          <c:x val="3.0000174978127903E-2"/>
          <c:y val="0.26896909983306128"/>
          <c:w val="0.90944531933508665"/>
          <c:h val="0.46742158963232167"/>
        </c:manualLayout>
      </c:layout>
      <c:areaChart>
        <c:grouping val="standard"/>
        <c:ser>
          <c:idx val="0"/>
          <c:order val="0"/>
          <c:tx>
            <c:v>Αποτελεσματικότητα μέτρου στην αύξηση του τζίρου</c:v>
          </c:tx>
          <c:dLbls>
            <c:numFmt formatCode="0%" sourceLinked="0"/>
            <c:txPr>
              <a:bodyPr/>
              <a:lstStyle/>
              <a:p>
                <a:pPr>
                  <a:defRPr sz="1200" b="1">
                    <a:latin typeface="+mj-lt"/>
                  </a:defRPr>
                </a:pPr>
                <a:endParaRPr lang="el-GR"/>
              </a:p>
            </c:txPr>
            <c:showVal val="1"/>
          </c:dLbls>
          <c:val>
            <c:numRef>
              <c:f>ΚΥΡΙΑΚΕΣ!$C$33:$C$37</c:f>
              <c:numCache>
                <c:formatCode>0.0%</c:formatCode>
                <c:ptCount val="5"/>
                <c:pt idx="0">
                  <c:v>0.75213675213675213</c:v>
                </c:pt>
                <c:pt idx="1">
                  <c:v>0.10256410256410343</c:v>
                </c:pt>
                <c:pt idx="2">
                  <c:v>4.2735042735042784E-2</c:v>
                </c:pt>
                <c:pt idx="3">
                  <c:v>4.2735042735042784E-2</c:v>
                </c:pt>
                <c:pt idx="4">
                  <c:v>5.9829059829059825E-2</c:v>
                </c:pt>
              </c:numCache>
            </c:numRef>
          </c:val>
        </c:ser>
        <c:axId val="104270464"/>
        <c:axId val="104272256"/>
      </c:areaChart>
      <c:catAx>
        <c:axId val="104270464"/>
        <c:scaling>
          <c:orientation val="minMax"/>
        </c:scaling>
        <c:axPos val="b"/>
        <c:minorGridlines/>
        <c:numFmt formatCode="General" sourceLinked="1"/>
        <c:tickLblPos val="nextTo"/>
        <c:txPr>
          <a:bodyPr/>
          <a:lstStyle/>
          <a:p>
            <a:pPr>
              <a:defRPr sz="1300" b="1" i="1"/>
            </a:pPr>
            <a:endParaRPr lang="el-GR"/>
          </a:p>
        </c:txPr>
        <c:crossAx val="104272256"/>
        <c:crosses val="autoZero"/>
        <c:auto val="1"/>
        <c:lblAlgn val="ctr"/>
        <c:lblOffset val="100"/>
      </c:catAx>
      <c:valAx>
        <c:axId val="104272256"/>
        <c:scaling>
          <c:orientation val="minMax"/>
        </c:scaling>
        <c:delete val="1"/>
        <c:axPos val="l"/>
        <c:majorGridlines/>
        <c:numFmt formatCode="0.0%" sourceLinked="1"/>
        <c:tickLblPos val="none"/>
        <c:crossAx val="104270464"/>
        <c:crosses val="autoZero"/>
        <c:crossBetween val="midCat"/>
      </c:valAx>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sz="1200" b="1" i="0" u="none" strike="noStrike" baseline="0">
                <a:solidFill>
                  <a:srgbClr val="000000"/>
                </a:solidFill>
                <a:latin typeface="Arial"/>
                <a:ea typeface="Arial"/>
                <a:cs typeface="Arial"/>
              </a:defRPr>
            </a:pPr>
            <a:r>
              <a:rPr lang="el-GR"/>
              <a:t>Εαν</a:t>
            </a:r>
            <a:r>
              <a:rPr lang="el-GR" baseline="0"/>
              <a:t> το άνοιγμα των καταστημάτων τις Κυριακές έχει επιβαρύνει το λειτουργικό κόστος</a:t>
            </a:r>
            <a:endParaRPr lang="el-GR"/>
          </a:p>
        </c:rich>
      </c:tx>
      <c:layout>
        <c:manualLayout>
          <c:xMode val="edge"/>
          <c:yMode val="edge"/>
          <c:x val="0.14061642294713331"/>
          <c:y val="3.8378851292236969E-2"/>
        </c:manualLayout>
      </c:layout>
      <c:spPr>
        <a:noFill/>
        <a:ln w="25400">
          <a:noFill/>
        </a:ln>
      </c:spPr>
    </c:title>
    <c:view3D>
      <c:perspective val="0"/>
    </c:view3D>
    <c:plotArea>
      <c:layout>
        <c:manualLayout>
          <c:layoutTarget val="inner"/>
          <c:xMode val="edge"/>
          <c:yMode val="edge"/>
          <c:x val="0.11764715536957999"/>
          <c:y val="0.37812500000000032"/>
          <c:w val="0.69131687950770859"/>
          <c:h val="0.51113601790767149"/>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numFmt formatCode="0%" sourceLinked="0"/>
            <c:spPr>
              <a:noFill/>
              <a:ln w="25400">
                <a:noFill/>
              </a:ln>
            </c:spPr>
            <c:txPr>
              <a:bodyPr/>
              <a:lstStyle/>
              <a:p>
                <a:pPr>
                  <a:defRPr sz="900" b="0" i="0" u="none" strike="noStrike" baseline="0">
                    <a:solidFill>
                      <a:srgbClr val="000000"/>
                    </a:solidFill>
                    <a:latin typeface="Arial"/>
                    <a:ea typeface="Arial"/>
                    <a:cs typeface="Arial"/>
                  </a:defRPr>
                </a:pPr>
                <a:endParaRPr lang="el-GR"/>
              </a:p>
            </c:txPr>
            <c:showPercent val="1"/>
            <c:showLeaderLines val="1"/>
          </c:dLbls>
          <c:cat>
            <c:strRef>
              <c:f>ΚΥΡΙΑΚΕΣ!$A$50:$A$52</c:f>
              <c:strCache>
                <c:ptCount val="3"/>
                <c:pt idx="0">
                  <c:v>Ναι</c:v>
                </c:pt>
                <c:pt idx="1">
                  <c:v>Όχι</c:v>
                </c:pt>
                <c:pt idx="2">
                  <c:v>ΔΓ/ΔΑ</c:v>
                </c:pt>
              </c:strCache>
            </c:strRef>
          </c:cat>
          <c:val>
            <c:numRef>
              <c:f>ΚΥΡΙΑΚΕΣ!$D$50:$D$52</c:f>
              <c:numCache>
                <c:formatCode>0.0%</c:formatCode>
                <c:ptCount val="3"/>
                <c:pt idx="0">
                  <c:v>0.64179104477612692</c:v>
                </c:pt>
                <c:pt idx="1">
                  <c:v>0.35820895522388435</c:v>
                </c:pt>
              </c:numCache>
            </c:numRef>
          </c:val>
        </c:ser>
        <c:dLbls>
          <c:showPercent val="1"/>
        </c:dLbls>
      </c:pie3DChart>
      <c:spPr>
        <a:noFill/>
        <a:ln w="25400">
          <a:noFill/>
        </a:ln>
      </c:spPr>
    </c:plotArea>
    <c:legend>
      <c:legendPos val="r"/>
      <c:layout>
        <c:manualLayout>
          <c:xMode val="edge"/>
          <c:yMode val="edge"/>
          <c:x val="0.86386607556409101"/>
          <c:y val="0.4"/>
          <c:w val="0.12268925207878527"/>
          <c:h val="0.3312500000000003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l-GR"/>
        </a:p>
      </c:txPr>
    </c:legend>
    <c:plotVisOnly val="1"/>
    <c:dispBlanksAs val="zero"/>
  </c:chart>
  <c:spPr>
    <a:solidFill>
      <a:srgbClr val="969696"/>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l-G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sz="1200" b="1" i="0" u="none" strike="noStrike" baseline="0">
                <a:solidFill>
                  <a:srgbClr val="000000"/>
                </a:solidFill>
                <a:latin typeface="Arial"/>
                <a:ea typeface="Arial"/>
                <a:cs typeface="Arial"/>
              </a:defRPr>
            </a:pPr>
            <a:r>
              <a:rPr lang="el-GR" sz="1000"/>
              <a:t>Εαν</a:t>
            </a:r>
            <a:r>
              <a:rPr lang="el-GR" sz="1000" baseline="0"/>
              <a:t> έχουν πραγματοποιήσει ή σκοπέυουν να πραγματοποιήσουν πρόσληψη υπαλλήλου για τις Κυριακές </a:t>
            </a:r>
            <a:endParaRPr lang="el-GR" sz="1000"/>
          </a:p>
        </c:rich>
      </c:tx>
      <c:layout>
        <c:manualLayout>
          <c:xMode val="edge"/>
          <c:yMode val="edge"/>
          <c:x val="0.14061642294713336"/>
          <c:y val="3.8378851292236969E-2"/>
        </c:manualLayout>
      </c:layout>
      <c:spPr>
        <a:noFill/>
        <a:ln w="25400">
          <a:noFill/>
        </a:ln>
      </c:spPr>
    </c:title>
    <c:view3D>
      <c:perspective val="0"/>
    </c:view3D>
    <c:plotArea>
      <c:layout>
        <c:manualLayout>
          <c:layoutTarget val="inner"/>
          <c:xMode val="edge"/>
          <c:yMode val="edge"/>
          <c:x val="0.11540633891351816"/>
          <c:y val="0.20995672838192544"/>
          <c:w val="0.69131687950770859"/>
          <c:h val="0.51113601790767149"/>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dLbl>
              <c:idx val="0"/>
              <c:layout>
                <c:manualLayout>
                  <c:x val="4.4291859977892853E-2"/>
                  <c:y val="3.6826562964800046E-2"/>
                </c:manualLayout>
              </c:layout>
              <c:showPercent val="1"/>
            </c:dLbl>
            <c:numFmt formatCode="0%" sourceLinked="0"/>
            <c:spPr>
              <a:noFill/>
              <a:ln w="25400">
                <a:noFill/>
              </a:ln>
            </c:spPr>
            <c:txPr>
              <a:bodyPr/>
              <a:lstStyle/>
              <a:p>
                <a:pPr>
                  <a:defRPr sz="900" b="0" i="0" u="none" strike="noStrike" baseline="0">
                    <a:solidFill>
                      <a:srgbClr val="000000"/>
                    </a:solidFill>
                    <a:latin typeface="Arial"/>
                    <a:ea typeface="Arial"/>
                    <a:cs typeface="Arial"/>
                  </a:defRPr>
                </a:pPr>
                <a:endParaRPr lang="el-GR"/>
              </a:p>
            </c:txPr>
            <c:showPercent val="1"/>
            <c:showLeaderLines val="1"/>
          </c:dLbls>
          <c:cat>
            <c:strRef>
              <c:f>ΚΥΡΙΑΚΕΣ!$A$75:$A$77</c:f>
              <c:strCache>
                <c:ptCount val="3"/>
                <c:pt idx="0">
                  <c:v>Ναι, έχω προσλάβει ήδη υπάλληλο για τις Κυριακές </c:v>
                </c:pt>
                <c:pt idx="1">
                  <c:v>Όχι και δεν σκοπεύω να προσλάβω ούτε στο μέλλον </c:v>
                </c:pt>
                <c:pt idx="2">
                  <c:v>Όχι, αλλά σκοπεύω να προσλάβω στο μέλλον </c:v>
                </c:pt>
              </c:strCache>
            </c:strRef>
          </c:cat>
          <c:val>
            <c:numRef>
              <c:f>ΚΥΡΙΑΚΕΣ!$C$75:$C$77</c:f>
              <c:numCache>
                <c:formatCode>0.0%</c:formatCode>
                <c:ptCount val="3"/>
                <c:pt idx="0">
                  <c:v>0</c:v>
                </c:pt>
                <c:pt idx="1">
                  <c:v>0.94666666666666666</c:v>
                </c:pt>
                <c:pt idx="2">
                  <c:v>5.3333333333334135E-2</c:v>
                </c:pt>
              </c:numCache>
            </c:numRef>
          </c:val>
        </c:ser>
        <c:dLbls>
          <c:showPercent val="1"/>
        </c:dLbls>
      </c:pie3DChart>
      <c:spPr>
        <a:noFill/>
        <a:ln w="25400">
          <a:noFill/>
        </a:ln>
      </c:spPr>
    </c:plotArea>
    <c:legend>
      <c:legendPos val="b"/>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l-GR"/>
        </a:p>
      </c:txPr>
    </c:legend>
    <c:plotVisOnly val="1"/>
    <c:dispBlanksAs val="zero"/>
  </c:chart>
  <c:spPr>
    <a:solidFill>
      <a:srgbClr val="969696"/>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l-GR"/>
    </a:p>
  </c:txPr>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43</Pages>
  <Words>11554</Words>
  <Characters>62393</Characters>
  <Application>Microsoft Office Word</Application>
  <DocSecurity>0</DocSecurity>
  <Lines>519</Lines>
  <Paragraphs>147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amegoulis</dc:creator>
  <cp:lastModifiedBy>mfondrie</cp:lastModifiedBy>
  <cp:revision>26</cp:revision>
  <cp:lastPrinted>2014-08-25T06:38:00Z</cp:lastPrinted>
  <dcterms:created xsi:type="dcterms:W3CDTF">2014-08-20T10:28:00Z</dcterms:created>
  <dcterms:modified xsi:type="dcterms:W3CDTF">2014-08-25T07:08:00Z</dcterms:modified>
</cp:coreProperties>
</file>